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C297" w14:textId="77777777" w:rsidR="00AE6251" w:rsidRPr="00D6605B" w:rsidRDefault="00AE6251" w:rsidP="00F639B2">
      <w:pPr>
        <w:tabs>
          <w:tab w:val="left" w:pos="993"/>
        </w:tabs>
        <w:spacing w:after="0" w:line="276" w:lineRule="auto"/>
        <w:ind w:left="567" w:hanging="567"/>
        <w:contextualSpacing/>
        <w:jc w:val="right"/>
        <w:rPr>
          <w:rFonts w:asciiTheme="majorHAnsi" w:hAnsiTheme="majorHAnsi" w:cstheme="majorHAnsi"/>
          <w:color w:val="000000" w:themeColor="text1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zał. nr 2 do SWZ</w:t>
      </w:r>
    </w:p>
    <w:p w14:paraId="598442DD" w14:textId="77777777" w:rsidR="00445F67" w:rsidRPr="00D6605B" w:rsidRDefault="00445F67" w:rsidP="00445F67">
      <w:pPr>
        <w:spacing w:after="0" w:line="276" w:lineRule="auto"/>
        <w:ind w:left="567" w:hanging="567"/>
        <w:contextualSpacing/>
        <w:jc w:val="right"/>
        <w:rPr>
          <w:rFonts w:asciiTheme="majorHAnsi" w:hAnsiTheme="majorHAnsi" w:cstheme="majorHAnsi"/>
          <w:color w:val="0070C0"/>
          <w:sz w:val="20"/>
        </w:rPr>
      </w:pPr>
      <w:r w:rsidRPr="00E17B5C">
        <w:rPr>
          <w:rFonts w:asciiTheme="majorHAnsi" w:hAnsiTheme="majorHAnsi" w:cstheme="majorHAnsi"/>
          <w:i/>
          <w:color w:val="0070C0"/>
          <w:sz w:val="20"/>
        </w:rPr>
        <w:t>(</w:t>
      </w:r>
      <w:r w:rsidRPr="00D6605B">
        <w:rPr>
          <w:rFonts w:asciiTheme="majorHAnsi" w:hAnsiTheme="majorHAnsi" w:cstheme="majorHAnsi"/>
          <w:i/>
          <w:color w:val="0070C0"/>
          <w:sz w:val="20"/>
        </w:rPr>
        <w:t>projektowane postanowienia umowy)</w:t>
      </w:r>
    </w:p>
    <w:p w14:paraId="265860AE" w14:textId="77777777" w:rsidR="00445F67" w:rsidRPr="00D6605B" w:rsidRDefault="00445F67" w:rsidP="00445F67">
      <w:pPr>
        <w:pStyle w:val="Tytu"/>
        <w:spacing w:line="276" w:lineRule="auto"/>
        <w:ind w:left="567" w:hanging="567"/>
        <w:contextualSpacing/>
        <w:rPr>
          <w:rFonts w:asciiTheme="majorHAnsi" w:hAnsiTheme="majorHAnsi" w:cstheme="majorHAnsi"/>
          <w:color w:val="0070C0"/>
          <w:sz w:val="22"/>
          <w:szCs w:val="22"/>
          <w:lang w:val="pl-PL"/>
        </w:rPr>
      </w:pPr>
      <w:r w:rsidRPr="00D6605B">
        <w:rPr>
          <w:rFonts w:asciiTheme="majorHAnsi" w:hAnsiTheme="majorHAnsi" w:cstheme="majorHAnsi"/>
          <w:color w:val="0070C0"/>
          <w:sz w:val="22"/>
          <w:szCs w:val="22"/>
          <w:lang w:val="pl-PL"/>
        </w:rPr>
        <w:t xml:space="preserve">projektowane postanowienia umowy </w:t>
      </w:r>
    </w:p>
    <w:p w14:paraId="2781A9FC" w14:textId="77777777" w:rsidR="00445F67" w:rsidRPr="00D6605B" w:rsidRDefault="00445F67" w:rsidP="00445F67">
      <w:pPr>
        <w:pStyle w:val="Tytu"/>
        <w:spacing w:line="276" w:lineRule="auto"/>
        <w:ind w:left="567" w:hanging="567"/>
        <w:contextualSpacing/>
        <w:rPr>
          <w:rFonts w:asciiTheme="majorHAnsi" w:hAnsiTheme="majorHAnsi" w:cstheme="majorHAnsi"/>
          <w:b w:val="0"/>
          <w:bCs/>
          <w:i/>
          <w:iCs/>
          <w:color w:val="0070C0"/>
          <w:sz w:val="20"/>
          <w:szCs w:val="22"/>
          <w:u w:val="none"/>
        </w:rPr>
      </w:pPr>
    </w:p>
    <w:p w14:paraId="4B85B50C" w14:textId="77777777" w:rsidR="00445F67" w:rsidRPr="00D6605B" w:rsidRDefault="00445F67" w:rsidP="00F639B2">
      <w:p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1E122DFA" w14:textId="71538A8D" w:rsidR="00235465" w:rsidRPr="00027B97" w:rsidRDefault="00235465" w:rsidP="00027B97">
      <w:pPr>
        <w:spacing w:after="0" w:line="276" w:lineRule="auto"/>
        <w:ind w:left="567" w:hanging="567"/>
        <w:contextualSpacing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027B97">
        <w:rPr>
          <w:rFonts w:asciiTheme="majorHAnsi" w:hAnsiTheme="majorHAnsi" w:cstheme="majorHAnsi"/>
          <w:b/>
          <w:bCs/>
          <w:color w:val="000000" w:themeColor="text1"/>
        </w:rPr>
        <w:t>Przedmiot umowy</w:t>
      </w:r>
      <w:bookmarkStart w:id="0" w:name="_GoBack"/>
      <w:bookmarkEnd w:id="0"/>
    </w:p>
    <w:p w14:paraId="0AA76EE0" w14:textId="4937C8A7" w:rsidR="00560754" w:rsidRPr="00D6605B" w:rsidRDefault="00AE6251" w:rsidP="000366C5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Przedmiotem </w:t>
      </w:r>
      <w:r w:rsidR="00114D1C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umowy o niniejsze zamówienie publiczne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jest kompleksowa dostawa paliwa gazowego,</w:t>
      </w:r>
      <w:r w:rsidR="00445F67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zwanego dalej </w:t>
      </w:r>
      <w:r w:rsidR="00445F67" w:rsidRPr="00027B97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„Paliwem gazowym”</w:t>
      </w:r>
      <w:r w:rsidR="00445F67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na zasadach określonych w ustawie z dnia 10 kwietnia 1997 Prawo energetyczne (tj.</w:t>
      </w:r>
      <w:r w:rsidR="00114D1C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 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Dz. U. 2022 poz. 1385 z późn. zm.) zwanej dalej </w:t>
      </w:r>
      <w:r w:rsidR="00114D1C" w:rsidRPr="00027B97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„</w:t>
      </w:r>
      <w:r w:rsidRPr="00027B97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Prawo Energetyczne</w:t>
      </w:r>
      <w:r w:rsidR="00114D1C" w:rsidRPr="00027B97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”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oraz w wydanych na jej podstawie aktach wykonawczych.</w:t>
      </w:r>
    </w:p>
    <w:p w14:paraId="3E5AAFB7" w14:textId="1FBBC262" w:rsidR="00445F67" w:rsidRPr="00D6605B" w:rsidRDefault="00445F67" w:rsidP="000366C5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Kompleksowa dostawa Paliwa gazowego odbywać się będzie zgodnie z przepisami ustawy z dnia 10 kwietnia 1997 r. - Prawo energetyczne (tj. Dz. U. 2022 poz. 1385 późn. zm.), zgodnie z obowiązującymi rozporządzeniami do ww. ustawy oraz przepisami ustawy z dnia 23 kwietnia 1964 r. - Kodeks Cywilny (tj. Dz. U. z 2022 r. poz. 1360 z późn. zm. , zwanej dalej „Kodeks Cywilny”), zasadami określonymi w koncesjach, postanowieniach umowy, ofertą przetargową Wykonawcy oraz w oparciu o ustawę z dnia 11 września 2019 r. Prawo zamówień publicznych (t.j. Dz. U z 2022 r., poz. 1710 ze zm.).</w:t>
      </w:r>
    </w:p>
    <w:p w14:paraId="76854A97" w14:textId="2CE5E843" w:rsidR="003E12E5" w:rsidRPr="00D6605B" w:rsidRDefault="003E12E5" w:rsidP="003E12E5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D6605B">
        <w:rPr>
          <w:rFonts w:asciiTheme="majorHAnsi" w:eastAsia="Times New Roman" w:hAnsiTheme="majorHAnsi" w:cstheme="majorHAnsi"/>
          <w:lang w:eastAsia="pl-PL"/>
        </w:rPr>
        <w:t xml:space="preserve">W sprawach nie uregulowanych w niniejszych projektowanych postanowieniach umowy </w:t>
      </w:r>
      <w:r w:rsidRPr="00D6605B">
        <w:rPr>
          <w:rFonts w:asciiTheme="majorHAnsi" w:hAnsiTheme="majorHAnsi" w:cstheme="majorHAnsi"/>
        </w:rPr>
        <w:t xml:space="preserve">mają zastosowanie postanowienia umowy kompleksowej dostarczania paliwa gazowego </w:t>
      </w:r>
      <w:r w:rsidR="00114D1C" w:rsidRPr="00D6605B">
        <w:rPr>
          <w:rFonts w:asciiTheme="majorHAnsi" w:hAnsiTheme="majorHAnsi" w:cstheme="majorHAnsi"/>
        </w:rPr>
        <w:t xml:space="preserve">(wraz z </w:t>
      </w:r>
      <w:r w:rsidR="00BA264E">
        <w:rPr>
          <w:rFonts w:asciiTheme="majorHAnsi" w:hAnsiTheme="majorHAnsi" w:cstheme="majorHAnsi"/>
        </w:rPr>
        <w:t xml:space="preserve">aneksem lub </w:t>
      </w:r>
      <w:r w:rsidR="00114D1C" w:rsidRPr="00D6605B">
        <w:rPr>
          <w:rFonts w:asciiTheme="majorHAnsi" w:hAnsiTheme="majorHAnsi" w:cstheme="majorHAnsi"/>
        </w:rPr>
        <w:t xml:space="preserve">aneksami), </w:t>
      </w:r>
      <w:r w:rsidRPr="00D6605B">
        <w:rPr>
          <w:rFonts w:asciiTheme="majorHAnsi" w:hAnsiTheme="majorHAnsi" w:cstheme="majorHAnsi"/>
        </w:rPr>
        <w:t>załączone przez Wykonawcę do oferty</w:t>
      </w:r>
      <w:r w:rsidR="00114D1C" w:rsidRPr="00D6605B">
        <w:rPr>
          <w:rFonts w:asciiTheme="majorHAnsi" w:hAnsiTheme="majorHAnsi" w:cstheme="majorHAnsi"/>
        </w:rPr>
        <w:t xml:space="preserve"> zwanego dalej </w:t>
      </w:r>
      <w:r w:rsidR="00114D1C" w:rsidRPr="00D6605B">
        <w:rPr>
          <w:rFonts w:asciiTheme="majorHAnsi" w:hAnsiTheme="majorHAnsi" w:cstheme="majorHAnsi"/>
          <w:b/>
          <w:bCs/>
        </w:rPr>
        <w:t>„projektem umowy Wykonawcy”</w:t>
      </w:r>
      <w:r w:rsidRPr="00D6605B">
        <w:rPr>
          <w:rFonts w:asciiTheme="majorHAnsi" w:hAnsiTheme="majorHAnsi" w:cstheme="majorHAnsi"/>
        </w:rPr>
        <w:t xml:space="preserve"> o ile nie są one sprzeczne z treścią Specyfikacji Warunków Zamówienia</w:t>
      </w:r>
      <w:r w:rsidR="0012030A">
        <w:rPr>
          <w:rFonts w:asciiTheme="majorHAnsi" w:hAnsiTheme="majorHAnsi" w:cstheme="majorHAnsi"/>
        </w:rPr>
        <w:t xml:space="preserve">. W przypadku postanowień rozbieżnych pierwszeństwo mają postanowienia wynikające z treści swz i projektowanych postanowień umowy załączonych do swz. </w:t>
      </w:r>
    </w:p>
    <w:p w14:paraId="23780CA0" w14:textId="77777777" w:rsidR="003E12E5" w:rsidRPr="00D6605B" w:rsidRDefault="003E12E5" w:rsidP="00027B97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>Wykonawca zobowiązany jest dostarczać Paliwo gazowe o cieple spalania oraz parametrach jakościowych określonych w IRiESD</w:t>
      </w:r>
      <w:r w:rsidRPr="00D6605B">
        <w:rPr>
          <w:rFonts w:asciiTheme="majorHAnsi" w:hAnsiTheme="majorHAnsi" w:cstheme="majorHAnsi"/>
          <w:color w:val="000000" w:themeColor="text1"/>
        </w:rPr>
        <w:t xml:space="preserve"> Rozdział 6 i wskazanych w rozdziale 8 Taryfy Nr 11 dla usług dystrybucji paliw gazowych PSG.</w:t>
      </w:r>
    </w:p>
    <w:p w14:paraId="57583286" w14:textId="2A0C8D04" w:rsidR="00E55AEC" w:rsidRPr="00027B97" w:rsidRDefault="00E55AEC" w:rsidP="00445F67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D6605B">
        <w:rPr>
          <w:rFonts w:asciiTheme="majorHAnsi" w:eastAsia="Times New Roman" w:hAnsiTheme="majorHAnsi" w:cstheme="majorHAnsi"/>
          <w:lang w:eastAsia="pl-PL"/>
        </w:rPr>
        <w:t>Realizacja</w:t>
      </w:r>
      <w:r w:rsidRPr="00D6605B">
        <w:rPr>
          <w:rFonts w:asciiTheme="majorHAnsi" w:hAnsiTheme="majorHAnsi" w:cstheme="majorHAnsi"/>
        </w:rPr>
        <w:t xml:space="preserve"> przedmiotu Umowy odbywać się będzie do wysokości środków zabezpieczonych przez Zamawiającego na realizacje przedmiotu Umowy</w:t>
      </w:r>
      <w:r w:rsidR="00114D1C" w:rsidRPr="00D6605B">
        <w:rPr>
          <w:rFonts w:asciiTheme="majorHAnsi" w:hAnsiTheme="majorHAnsi" w:cstheme="majorHAnsi"/>
        </w:rPr>
        <w:t xml:space="preserve"> tj. do kwoty </w:t>
      </w:r>
      <w:r w:rsidR="00311EA4" w:rsidRPr="00D6605B">
        <w:rPr>
          <w:rFonts w:asciiTheme="majorHAnsi" w:hAnsiTheme="majorHAnsi" w:cstheme="majorHAnsi"/>
        </w:rPr>
        <w:t>brutto 5 670 300,00 zł brutto.</w:t>
      </w:r>
    </w:p>
    <w:p w14:paraId="1D615ECA" w14:textId="14BDA304" w:rsidR="00C254F2" w:rsidRPr="00D6605B" w:rsidRDefault="00C254F2" w:rsidP="00445F67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Umowa wchodzi w życie z dniem zawarcia.</w:t>
      </w:r>
    </w:p>
    <w:p w14:paraId="228BD052" w14:textId="6AA08E0E" w:rsidR="00F61CB7" w:rsidRPr="00D6605B" w:rsidRDefault="00F61CB7" w:rsidP="00027B97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Szczegółowa charakterystyka planowanego odbioru Paliwa gazowego jest zawarta w </w:t>
      </w:r>
      <w:r w:rsidR="00072437"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>z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ałączniku </w:t>
      </w:r>
      <w:r w:rsidR="003E79E2"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>n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r </w:t>
      </w:r>
      <w:r w:rsidR="00072437"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>2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do</w:t>
      </w:r>
      <w:r w:rsidR="003E79E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projektowanych postanowień umownych</w:t>
      </w:r>
      <w:r w:rsidR="00072437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tj. „Dane dotyczące Obiektu, ilości Paliwa gazowego, mocy umownej”. 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Zamawiający oświadcza, iż Stacja Tankowania Gazu </w:t>
      </w:r>
      <w:r w:rsidR="00BA264E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CNG </w:t>
      </w:r>
      <w:r w:rsidR="00114D1C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MPO Sp. z o.o.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, jest instalacją nowo wybudowaną. W związku z powyższym Zamawiający nie posiada danych historycznych dotyczących poboru Paliwa gazowego. Mając powyższe na uwadze </w:t>
      </w:r>
      <w:r w:rsidR="003E79E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il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ość Paliwa gazowego wskazana w </w:t>
      </w:r>
      <w:r w:rsidR="003E79E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załączniku nr </w:t>
      </w:r>
      <w:r w:rsidR="00072437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2</w:t>
      </w:r>
      <w:r w:rsidR="003E79E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do projektowanych postanowień umownych 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ma jedynie charakter orientacyjny i w okresie realizacji przedmiotu </w:t>
      </w:r>
      <w:r w:rsidR="003E79E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u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>mowy może odbiegać od faktycznie pobranej ilości</w:t>
      </w:r>
      <w:r w:rsidR="00D31A14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(</w:t>
      </w:r>
      <w:r w:rsidR="00786792">
        <w:rPr>
          <w:rFonts w:asciiTheme="majorHAnsi" w:eastAsia="Times New Roman" w:hAnsiTheme="majorHAnsi" w:cstheme="majorHAnsi"/>
          <w:color w:val="000000" w:themeColor="text1"/>
          <w:lang w:eastAsia="pl-PL"/>
        </w:rPr>
        <w:t>odchylenie +/-20%)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. Wykonawcy z tytułu pobrania mniejszej niż określona w </w:t>
      </w:r>
      <w:r w:rsidR="003E79E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załączniku nr </w:t>
      </w:r>
      <w:r w:rsidR="00072437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2</w:t>
      </w:r>
      <w:r w:rsidR="003E79E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do projektowanych postanowień umownych </w:t>
      </w:r>
      <w:r w:rsidRPr="00027B97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ilości Paliwa gazowego nie będzie przysługiwało dodatkowe wynagrodzenie poza wynagrodzeniem za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faktycznie pobrane Paliwo gazowe </w:t>
      </w:r>
      <w:r w:rsidR="003E79E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według cen jednostkowych określonych </w:t>
      </w:r>
      <w:r w:rsidR="009D4942">
        <w:rPr>
          <w:rFonts w:asciiTheme="majorHAnsi" w:eastAsia="Times New Roman" w:hAnsiTheme="majorHAnsi" w:cstheme="majorHAnsi"/>
          <w:color w:val="000000" w:themeColor="text1"/>
          <w:lang w:eastAsia="pl-PL"/>
        </w:rPr>
        <w:t>w umowie w oparciu o taryfę/cennik Wykonawcy lub w oparciu o indeks TGE wybrany przez Zamawiającego na dany okres rozliczeniowy zgodnie z aneksem lub aneksami załączonymi do Oferty przez Wykonawcę</w:t>
      </w:r>
      <w:r w:rsidR="00AF2048">
        <w:rPr>
          <w:rFonts w:asciiTheme="majorHAnsi" w:eastAsia="Times New Roman" w:hAnsiTheme="majorHAnsi" w:cstheme="majorHAnsi"/>
          <w:color w:val="000000" w:themeColor="text1"/>
          <w:lang w:eastAsia="pl-PL"/>
        </w:rPr>
        <w:t>.</w:t>
      </w:r>
      <w:r w:rsidR="003E79E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9D4942">
        <w:rPr>
          <w:rFonts w:asciiTheme="majorHAnsi" w:eastAsia="Times New Roman" w:hAnsiTheme="majorHAnsi" w:cstheme="majorHAnsi"/>
          <w:color w:val="000000" w:themeColor="text1"/>
          <w:lang w:eastAsia="pl-PL"/>
        </w:rPr>
        <w:t>R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ozliczenie za usługi dystrybucji pobranego Paliwa gazowego, </w:t>
      </w:r>
      <w:r w:rsidR="009D494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odbywa się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wg obowiązującej w danym okresie Taryfy PSG jako OSD, do sieci którego Zamawiający/Odbiorca jest przyłączony</w:t>
      </w:r>
      <w:r w:rsidR="00454D57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z zastrzeżeniem </w:t>
      </w:r>
      <w:r w:rsidR="00BE523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ust. 1 w „Postanowieniach końcowych”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.</w:t>
      </w:r>
    </w:p>
    <w:p w14:paraId="17445006" w14:textId="6D56D949" w:rsidR="00FF3605" w:rsidRPr="00D6605B" w:rsidRDefault="00FF3605" w:rsidP="00027B97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hAnsiTheme="majorHAnsi" w:cstheme="majorHAnsi"/>
          <w:color w:val="000000" w:themeColor="text1"/>
        </w:rPr>
        <w:t xml:space="preserve">Wykonawca zobowiązany jest do zapewnienia nieprzerwanych dostaw Paliwa gazowego do </w:t>
      </w:r>
      <w:r w:rsidR="00454D57" w:rsidRPr="00D6605B">
        <w:rPr>
          <w:rFonts w:asciiTheme="majorHAnsi" w:hAnsiTheme="majorHAnsi" w:cstheme="majorHAnsi"/>
          <w:color w:val="000000" w:themeColor="text1"/>
        </w:rPr>
        <w:t>p</w:t>
      </w:r>
      <w:r w:rsidRPr="00D6605B">
        <w:rPr>
          <w:rFonts w:asciiTheme="majorHAnsi" w:hAnsiTheme="majorHAnsi" w:cstheme="majorHAnsi"/>
          <w:color w:val="000000" w:themeColor="text1"/>
        </w:rPr>
        <w:t>unktu odbioru</w:t>
      </w:r>
      <w:r w:rsidR="00454D57" w:rsidRPr="00D6605B">
        <w:rPr>
          <w:rFonts w:asciiTheme="majorHAnsi" w:hAnsiTheme="majorHAnsi" w:cstheme="majorHAnsi"/>
          <w:color w:val="000000" w:themeColor="text1"/>
        </w:rPr>
        <w:t xml:space="preserve">, o którym mowa w „Oświadczenie Zamawiającego” ust. 1 </w:t>
      </w:r>
      <w:r w:rsidRPr="00D6605B">
        <w:rPr>
          <w:rFonts w:asciiTheme="majorHAnsi" w:hAnsiTheme="majorHAnsi" w:cstheme="majorHAnsi"/>
          <w:color w:val="000000" w:themeColor="text1"/>
        </w:rPr>
        <w:t xml:space="preserve">za wyjątkiem przerw planowanych wynikających np. z </w:t>
      </w:r>
      <w:r w:rsidRPr="00D6605B">
        <w:rPr>
          <w:rFonts w:asciiTheme="majorHAnsi" w:hAnsiTheme="majorHAnsi" w:cstheme="majorHAnsi"/>
          <w:color w:val="000000" w:themeColor="text1"/>
        </w:rPr>
        <w:lastRenderedPageBreak/>
        <w:t>prac konserwacyjnych oraz przerw nieplanowanych wynikających z awarii systemu dystrybucyjnego. Zamawiający zostanie poinformowany o przerwach w dostawie Paliwa gazowego w sposób określony w przepisach Prawa energetycznego, Taryfie OSD oraz IRiESD 16 r OSD.</w:t>
      </w:r>
    </w:p>
    <w:p w14:paraId="32BEA469" w14:textId="13FF5CDF" w:rsidR="00FF3605" w:rsidRPr="00D6605B" w:rsidRDefault="00FF3605" w:rsidP="00027B97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Wykonawca zobowiązuje się do zapewnienia bilansowania handlowego w zakresie sprzedaży Paliwa gazowego. Tym samym Wykonawca zwalnia Odbiorcę z wszelkich kosztów i obowiązków związanych z bilansowaniem handlowym</w:t>
      </w:r>
      <w:r w:rsidR="00311EA4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z wyjątkiem postanowień ust. 1 w „Postanowieniach końcowych” .</w:t>
      </w:r>
    </w:p>
    <w:p w14:paraId="28140A22" w14:textId="77777777" w:rsidR="00F61CB7" w:rsidRPr="00D6605B" w:rsidRDefault="00F61CB7" w:rsidP="00027B9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</w:p>
    <w:p w14:paraId="05F1A47E" w14:textId="77777777" w:rsidR="003E12E5" w:rsidRPr="00D6605B" w:rsidRDefault="003E12E5" w:rsidP="003E12E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4B638776" w14:textId="5AADE31A" w:rsidR="003E12E5" w:rsidRPr="001135EC" w:rsidRDefault="003E12E5" w:rsidP="00027B9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027B97">
        <w:rPr>
          <w:rFonts w:asciiTheme="majorHAnsi" w:hAnsiTheme="majorHAnsi" w:cstheme="majorHAnsi"/>
          <w:b/>
          <w:bCs/>
          <w:color w:val="000000" w:themeColor="text1"/>
        </w:rPr>
        <w:t>Oświadczenia Zamawia</w:t>
      </w:r>
      <w:r w:rsidRPr="001135EC">
        <w:rPr>
          <w:rFonts w:asciiTheme="majorHAnsi" w:hAnsiTheme="majorHAnsi" w:cstheme="majorHAnsi"/>
          <w:b/>
          <w:bCs/>
          <w:color w:val="000000" w:themeColor="text1"/>
        </w:rPr>
        <w:t>jącego</w:t>
      </w:r>
    </w:p>
    <w:p w14:paraId="0A45EA89" w14:textId="37DAB59D" w:rsidR="003329BC" w:rsidRPr="00D6605B" w:rsidRDefault="003329BC" w:rsidP="001135EC">
      <w:pPr>
        <w:numPr>
          <w:ilvl w:val="0"/>
          <w:numId w:val="39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ascii="Arial Narrow" w:hAnsi="Arial Narrow"/>
          <w:color w:val="000000" w:themeColor="text1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Zamawiający oświadcza, iż posiada tytuł prawny do korzystania z </w:t>
      </w:r>
      <w:r w:rsidR="003E12E5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o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biektu (miejsce dostarczania Paliwa gazowego) zlokalizowanego w Krakowie przy ulicy Nowohuckiej 1</w:t>
      </w:r>
      <w:r w:rsidR="003E12E5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, zwanego „Obiektem”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.</w:t>
      </w:r>
      <w:r w:rsidRPr="00D6605B">
        <w:rPr>
          <w:rFonts w:ascii="Arial Narrow" w:hAnsi="Arial Narrow"/>
          <w:color w:val="000000" w:themeColor="text1"/>
        </w:rPr>
        <w:t xml:space="preserve"> </w:t>
      </w:r>
    </w:p>
    <w:p w14:paraId="77CF725A" w14:textId="3DE69D11" w:rsidR="003329BC" w:rsidRPr="00D6605B" w:rsidRDefault="003329BC" w:rsidP="001135EC">
      <w:pPr>
        <w:numPr>
          <w:ilvl w:val="0"/>
          <w:numId w:val="39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asciiTheme="majorHAnsi" w:hAnsiTheme="majorHAnsi" w:cstheme="majorHAnsi"/>
          <w:color w:val="000000" w:themeColor="text1"/>
        </w:rPr>
      </w:pPr>
      <w:r w:rsidRPr="00D6605B">
        <w:rPr>
          <w:rFonts w:asciiTheme="majorHAnsi" w:hAnsiTheme="majorHAnsi" w:cstheme="majorHAnsi"/>
          <w:color w:val="000000" w:themeColor="text1"/>
        </w:rPr>
        <w:t xml:space="preserve">Zamówienie dotyczące ilości Paliwa gazowego oraz zamówienie mocy umownej określone jest w </w:t>
      </w:r>
      <w:r w:rsidR="00C541FC" w:rsidRPr="001135EC">
        <w:rPr>
          <w:rFonts w:asciiTheme="majorHAnsi" w:hAnsiTheme="majorHAnsi" w:cstheme="majorHAnsi"/>
          <w:color w:val="000000" w:themeColor="text1"/>
        </w:rPr>
        <w:t>z</w:t>
      </w:r>
      <w:r w:rsidRPr="00D6605B">
        <w:rPr>
          <w:rFonts w:asciiTheme="majorHAnsi" w:hAnsiTheme="majorHAnsi" w:cstheme="majorHAnsi"/>
          <w:color w:val="000000" w:themeColor="text1"/>
        </w:rPr>
        <w:t>ałączniku nr</w:t>
      </w:r>
      <w:r w:rsidR="00C541FC" w:rsidRPr="001135EC">
        <w:rPr>
          <w:rFonts w:asciiTheme="majorHAnsi" w:hAnsiTheme="majorHAnsi" w:cstheme="majorHAnsi"/>
          <w:color w:val="000000" w:themeColor="text1"/>
        </w:rPr>
        <w:t> 2</w:t>
      </w:r>
      <w:r w:rsidRPr="00D6605B">
        <w:rPr>
          <w:rFonts w:asciiTheme="majorHAnsi" w:hAnsiTheme="majorHAnsi" w:cstheme="majorHAnsi"/>
          <w:color w:val="000000" w:themeColor="text1"/>
        </w:rPr>
        <w:t xml:space="preserve"> do </w:t>
      </w:r>
      <w:r w:rsidR="00C541FC" w:rsidRPr="001135EC">
        <w:rPr>
          <w:rFonts w:asciiTheme="majorHAnsi" w:hAnsiTheme="majorHAnsi" w:cstheme="majorHAnsi"/>
          <w:color w:val="000000" w:themeColor="text1"/>
        </w:rPr>
        <w:t>niniejszych projektowanych postanowień umownych</w:t>
      </w:r>
      <w:r w:rsidRPr="00D6605B">
        <w:rPr>
          <w:rFonts w:asciiTheme="majorHAnsi" w:hAnsiTheme="majorHAnsi" w:cstheme="majorHAnsi"/>
          <w:color w:val="000000" w:themeColor="text1"/>
        </w:rPr>
        <w:t>.</w:t>
      </w:r>
    </w:p>
    <w:p w14:paraId="69295FA0" w14:textId="1F5FB8C2" w:rsidR="003E12E5" w:rsidRPr="00D6605B" w:rsidRDefault="003E12E5" w:rsidP="003E12E5">
      <w:pPr>
        <w:numPr>
          <w:ilvl w:val="0"/>
          <w:numId w:val="39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asciiTheme="majorHAnsi" w:hAnsiTheme="majorHAnsi" w:cstheme="majorHAnsi"/>
          <w:color w:val="000000" w:themeColor="text1"/>
        </w:rPr>
      </w:pPr>
      <w:r w:rsidRPr="00D6605B">
        <w:rPr>
          <w:rFonts w:asciiTheme="majorHAnsi" w:hAnsiTheme="majorHAnsi" w:cstheme="majorHAnsi"/>
          <w:color w:val="000000" w:themeColor="text1"/>
        </w:rPr>
        <w:t xml:space="preserve">W dniu zawarcia </w:t>
      </w:r>
      <w:r w:rsidR="00311EA4" w:rsidRPr="00D6605B">
        <w:rPr>
          <w:rFonts w:asciiTheme="majorHAnsi" w:hAnsiTheme="majorHAnsi" w:cstheme="majorHAnsi"/>
          <w:color w:val="000000" w:themeColor="text1"/>
        </w:rPr>
        <w:t>u</w:t>
      </w:r>
      <w:r w:rsidRPr="00D6605B">
        <w:rPr>
          <w:rFonts w:asciiTheme="majorHAnsi" w:hAnsiTheme="majorHAnsi" w:cstheme="majorHAnsi"/>
          <w:color w:val="000000" w:themeColor="text1"/>
        </w:rPr>
        <w:t xml:space="preserve">mowy Zamawiający jest zakwalifikowany, zgodnie z zasadami zawartymi w Taryfie, do grup taryfowych Wykonawcy i OSD wskazanych w </w:t>
      </w:r>
      <w:r w:rsidR="00C541FC" w:rsidRPr="001135EC">
        <w:rPr>
          <w:rFonts w:asciiTheme="majorHAnsi" w:hAnsiTheme="majorHAnsi" w:cstheme="majorHAnsi"/>
          <w:color w:val="000000" w:themeColor="text1"/>
        </w:rPr>
        <w:t>z</w:t>
      </w:r>
      <w:r w:rsidRPr="001135EC">
        <w:rPr>
          <w:rFonts w:asciiTheme="majorHAnsi" w:hAnsiTheme="majorHAnsi" w:cstheme="majorHAnsi"/>
          <w:color w:val="000000" w:themeColor="text1"/>
        </w:rPr>
        <w:t>ałączniku nr</w:t>
      </w:r>
      <w:r w:rsidR="00C541FC" w:rsidRPr="001135EC">
        <w:rPr>
          <w:rFonts w:asciiTheme="majorHAnsi" w:hAnsiTheme="majorHAnsi" w:cstheme="majorHAnsi"/>
          <w:color w:val="000000" w:themeColor="text1"/>
        </w:rPr>
        <w:t xml:space="preserve"> 4</w:t>
      </w:r>
      <w:r w:rsidRPr="00D6605B">
        <w:rPr>
          <w:rFonts w:asciiTheme="majorHAnsi" w:hAnsiTheme="majorHAnsi" w:cstheme="majorHAnsi"/>
          <w:color w:val="000000" w:themeColor="text1"/>
        </w:rPr>
        <w:t xml:space="preserve"> do </w:t>
      </w:r>
      <w:r w:rsidR="00C541FC" w:rsidRPr="001135EC">
        <w:rPr>
          <w:rFonts w:asciiTheme="majorHAnsi" w:hAnsiTheme="majorHAnsi" w:cstheme="majorHAnsi"/>
          <w:color w:val="000000" w:themeColor="text1"/>
        </w:rPr>
        <w:t>niniejszych projektowanych postanowień umownych</w:t>
      </w:r>
      <w:r w:rsidRPr="00D6605B">
        <w:rPr>
          <w:rFonts w:asciiTheme="majorHAnsi" w:hAnsiTheme="majorHAnsi" w:cstheme="majorHAnsi"/>
          <w:color w:val="000000" w:themeColor="text1"/>
        </w:rPr>
        <w:t>.</w:t>
      </w:r>
    </w:p>
    <w:p w14:paraId="167B182E" w14:textId="77777777" w:rsidR="00605E93" w:rsidRPr="00D6605B" w:rsidRDefault="000D75A4" w:rsidP="00605E93">
      <w:pPr>
        <w:numPr>
          <w:ilvl w:val="0"/>
          <w:numId w:val="39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asciiTheme="majorHAnsi" w:hAnsiTheme="majorHAnsi" w:cstheme="majorHAnsi"/>
          <w:color w:val="000000" w:themeColor="text1"/>
        </w:rPr>
      </w:pPr>
      <w:r w:rsidRPr="00D6605B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 xml:space="preserve">Zamawiający w dniu podpisania umowy złoży Wykonawcy </w:t>
      </w:r>
      <w:r w:rsidRPr="00D6605B">
        <w:rPr>
          <w:rFonts w:asciiTheme="majorHAnsi" w:hAnsiTheme="majorHAnsi" w:cstheme="majorHAnsi"/>
          <w:bCs/>
          <w:color w:val="000000" w:themeColor="text1"/>
        </w:rPr>
        <w:t>Oświadczenie o sposobie wykorzystania nabywanych wyrobów gazowych dla celów akcyzowych zgodnie ze wzorem Wykonawcy</w:t>
      </w:r>
      <w:r w:rsidRPr="00D6605B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>.</w:t>
      </w:r>
    </w:p>
    <w:p w14:paraId="398AB3B3" w14:textId="5C7EE7F7" w:rsidR="00CA3412" w:rsidRPr="00D6605B" w:rsidRDefault="00605E93" w:rsidP="00CA3412">
      <w:pPr>
        <w:numPr>
          <w:ilvl w:val="0"/>
          <w:numId w:val="39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asciiTheme="majorHAnsi" w:hAnsiTheme="majorHAnsi" w:cstheme="majorHAnsi"/>
          <w:color w:val="000000" w:themeColor="text1"/>
        </w:rPr>
      </w:pPr>
      <w:r w:rsidRPr="001135EC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 xml:space="preserve">Zamawiający, zobowiązany jest wypełnić w imieniu Wykonawcy obowiązek informacyjny przewidziany w art. 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Zamawiający przekaże Wykonawcy w związku z realizacją </w:t>
      </w:r>
      <w:r w:rsidR="00311EA4" w:rsidRPr="00D6605B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>przedmiotu zamówienia</w:t>
      </w:r>
      <w:r w:rsidRPr="001135EC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>, w szczególności poprzez przekazanie osobom zatrudnionym przez Zamawiającego, pełnomocnikom i innym reprezentantom Zamawiającego stosownych klauzul informacyjnych</w:t>
      </w:r>
      <w:r w:rsidR="00311EA4" w:rsidRPr="00D6605B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 xml:space="preserve"> </w:t>
      </w:r>
      <w:r w:rsidRPr="001135EC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>na wzorze Wykonawcy</w:t>
      </w:r>
      <w:r w:rsidR="00311EA4" w:rsidRPr="00D6605B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 xml:space="preserve"> i Zamawiającego</w:t>
      </w:r>
      <w:r w:rsidRPr="001135EC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 xml:space="preserve">, przed przekazaniem do Wykonawcy danych ich dotyczących. </w:t>
      </w:r>
    </w:p>
    <w:p w14:paraId="01A5BED8" w14:textId="77777777" w:rsidR="00CA3412" w:rsidRPr="00D6605B" w:rsidRDefault="00CA3412" w:rsidP="00CA3412">
      <w:pPr>
        <w:numPr>
          <w:ilvl w:val="0"/>
          <w:numId w:val="39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asciiTheme="majorHAnsi" w:hAnsiTheme="majorHAnsi" w:cstheme="majorHAnsi"/>
          <w:color w:val="000000" w:themeColor="text1"/>
        </w:rPr>
      </w:pPr>
      <w:r w:rsidRPr="00D6605B">
        <w:rPr>
          <w:rFonts w:asciiTheme="majorHAnsi" w:hAnsiTheme="majorHAnsi" w:cstheme="majorHAnsi"/>
          <w:color w:val="000000" w:themeColor="text1"/>
        </w:rPr>
        <w:t>Zamawiający oświadcza, że jest czynnym podatnikiem podatku od towarów i usług (VAT) i posiada status dużego przedsiębiorcy w rozumieniu art. 4 pkt 6 ustawy z dnia 8 marca 2013 r. o przeciwdziałaniu nadmiernym opóźnieniom w transakcjach handlowych (t.j. Dz.U. z 2022 r. poz. 893 ze zm.) oraz Załącznika I do rozporządzenia Komisji (UE) nr 651/2014 z dnia 17 czerwca 2014 r. uznającego niektóre rodzaje pomocy za zgodne z rynkiem wewnętrznym w zastosowaniu art. 107 i 108 r. Traktatu (Dz. Urz. UE L 187 z 26.06.2014, str. 1, z późn. zm.) NIP Zamawiającego: 675-000-65-47</w:t>
      </w:r>
      <w:r w:rsidRPr="00D6605B">
        <w:rPr>
          <w:rFonts w:asciiTheme="majorHAnsi" w:eastAsia="Times New Roman" w:hAnsiTheme="majorHAnsi" w:cstheme="majorHAnsi"/>
          <w:snapToGrid w:val="0"/>
          <w:color w:val="000000" w:themeColor="text1"/>
          <w:lang w:eastAsia="pl-PL"/>
        </w:rPr>
        <w:t xml:space="preserve">. </w:t>
      </w:r>
    </w:p>
    <w:p w14:paraId="464CF707" w14:textId="67492339" w:rsidR="00CA3412" w:rsidRPr="00D6605B" w:rsidRDefault="00CA3412" w:rsidP="001135EC">
      <w:pPr>
        <w:numPr>
          <w:ilvl w:val="0"/>
          <w:numId w:val="39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567" w:hanging="612"/>
        <w:jc w:val="both"/>
        <w:rPr>
          <w:rFonts w:asciiTheme="majorHAnsi" w:hAnsiTheme="majorHAnsi" w:cstheme="majorHAnsi"/>
          <w:color w:val="000000" w:themeColor="text1"/>
        </w:rPr>
      </w:pPr>
      <w:r w:rsidRPr="00D6605B">
        <w:rPr>
          <w:rFonts w:asciiTheme="majorHAnsi" w:hAnsiTheme="majorHAnsi" w:cstheme="majorHAnsi"/>
          <w:color w:val="000000" w:themeColor="text1"/>
        </w:rPr>
        <w:t xml:space="preserve">Zamawiający nie wyraża zgody na zmianę wierzyciela na osobę trzecią w zakresie </w:t>
      </w:r>
      <w:r w:rsidR="00311EA4" w:rsidRPr="00D6605B">
        <w:rPr>
          <w:rFonts w:asciiTheme="majorHAnsi" w:hAnsiTheme="majorHAnsi" w:cstheme="majorHAnsi"/>
          <w:color w:val="000000" w:themeColor="text1"/>
        </w:rPr>
        <w:t>u</w:t>
      </w:r>
      <w:r w:rsidRPr="00D6605B">
        <w:rPr>
          <w:rFonts w:asciiTheme="majorHAnsi" w:hAnsiTheme="majorHAnsi" w:cstheme="majorHAnsi"/>
          <w:color w:val="000000" w:themeColor="text1"/>
        </w:rPr>
        <w:t>mowy, za wyjątkiem cesji wierzytelności na rzecz banku, w którym Wykonawca zaciągnie kredyt. Zmiana wierzyciela w tym przypadku powinna zostać poprzedzona pisemną zgodą Zamawiającego. Zamawiający może odmówić udzielenia zgody wyłącznie w uzasadnionych przypadkach, o których niezwłocznie poinformuje Wykonawcę w formie pisemnej.</w:t>
      </w:r>
    </w:p>
    <w:p w14:paraId="613F4446" w14:textId="77777777" w:rsidR="00CA3412" w:rsidRPr="001135EC" w:rsidRDefault="00CA3412" w:rsidP="001135EC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color w:val="000000" w:themeColor="text1"/>
        </w:rPr>
      </w:pPr>
    </w:p>
    <w:p w14:paraId="52DA2BE9" w14:textId="750901C5" w:rsidR="00235465" w:rsidRPr="00D6605B" w:rsidRDefault="00235465" w:rsidP="0023546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139E4F0" w14:textId="77777777" w:rsidR="00F61CB7" w:rsidRPr="00D6605B" w:rsidRDefault="00F61CB7" w:rsidP="00F61CB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Oświadczenia Wykonawcy</w:t>
      </w:r>
    </w:p>
    <w:p w14:paraId="15108EA0" w14:textId="77777777" w:rsidR="00F61CB7" w:rsidRPr="00D6605B" w:rsidRDefault="00F61CB7" w:rsidP="00F61CB7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Wykonawca oświadcza, że posiada koncesję na obrót paliwami gazowymi o numerze </w:t>
      </w:r>
      <w:r w:rsidRPr="00D6605B"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  <w:t>OPG/</w:t>
      </w:r>
      <w:r w:rsidRPr="00D6605B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>…………………………</w:t>
      </w:r>
      <w:r w:rsidRPr="00D6605B"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  <w:t xml:space="preserve">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wydaną przez </w:t>
      </w:r>
      <w:r w:rsidRPr="00D6605B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>Prezesa Urzędu Regulacji Energetyki w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dniu ……………………. roku, której okres ważności upływa ……………………….. roku. </w:t>
      </w:r>
    </w:p>
    <w:p w14:paraId="373C55E2" w14:textId="45660A6C" w:rsidR="00F61CB7" w:rsidRPr="00D6605B" w:rsidRDefault="00F61CB7" w:rsidP="00F61CB7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lastRenderedPageBreak/>
        <w:t xml:space="preserve">Wykonawca oświadcza, że ma zawartą </w:t>
      </w:r>
      <w:r w:rsidR="00311EA4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u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mowę o świadczenie usług dystrybucji paliwa gazowego z OSD, to jest </w:t>
      </w:r>
      <w:r w:rsidRPr="00D6605B">
        <w:rPr>
          <w:rFonts w:asciiTheme="majorHAnsi" w:hAnsiTheme="majorHAnsi" w:cstheme="majorHAnsi"/>
          <w:color w:val="000000" w:themeColor="text1"/>
        </w:rPr>
        <w:t>Polską Spółką Gazownictwa Sp. z o.o.</w:t>
      </w:r>
      <w:r w:rsidRPr="00D6605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umożliwiającą sprzedaż Paliwa gazowego do obiektu Zamawiającego za pośrednictwem sieci dystrybucyjnej OSD na czas obowiązywania </w:t>
      </w:r>
      <w:r w:rsidR="00311EA4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realizacji przedmiotu u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mowy.</w:t>
      </w:r>
    </w:p>
    <w:p w14:paraId="20B79D10" w14:textId="016928F1" w:rsidR="00F61CB7" w:rsidRPr="00D6605B" w:rsidRDefault="00F61CB7" w:rsidP="00F61CB7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W przypadku, gdy okres obowiązywania umowy o przedmiotowe zamówienie publiczne jest dłuższy niż okres ważności dokumentu opisanego w ust. 1 i/lub 2, Wykonawca zobligowany jest w terminie nie późniejszym niż na trzy miesiące przed datą upływu ważności tych dokumentów, przedłożyć Zamawiającemu - oświadczenie o posiadaniu aktualnej </w:t>
      </w:r>
      <w:r w:rsidR="00311EA4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u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mowy o świadczenie usług dystrybucji paliwa gazowego</w:t>
      </w:r>
      <w:r w:rsidRPr="00D6605B" w:rsidDel="001A02F0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i / lub aktualną koncesję na obrót paliwami gazowymi (OPG).</w:t>
      </w:r>
    </w:p>
    <w:p w14:paraId="09BD6AEE" w14:textId="77777777" w:rsidR="00CA3412" w:rsidRPr="00D6605B" w:rsidRDefault="00CA3412" w:rsidP="0012030A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ajorHAnsi" w:hAnsiTheme="majorHAnsi" w:cstheme="majorHAnsi"/>
          <w:bCs/>
          <w:color w:val="000000" w:themeColor="text1"/>
        </w:rPr>
      </w:pPr>
      <w:r w:rsidRPr="0012030A">
        <w:rPr>
          <w:rFonts w:asciiTheme="majorHAnsi" w:eastAsia="Times New Roman" w:hAnsiTheme="majorHAnsi" w:cstheme="majorHAnsi"/>
          <w:color w:val="000000" w:themeColor="text1"/>
          <w:lang w:eastAsia="pl-PL"/>
        </w:rPr>
        <w:t>Wykonawca</w:t>
      </w:r>
      <w:r w:rsidRPr="00D6605B">
        <w:rPr>
          <w:rFonts w:asciiTheme="majorHAnsi" w:hAnsiTheme="majorHAnsi" w:cstheme="majorHAnsi"/>
          <w:bCs/>
          <w:color w:val="000000" w:themeColor="text1"/>
        </w:rPr>
        <w:t xml:space="preserve"> oświadcza, że jest czynnym podatnikiem podatku od towarów i usług (VAT) i </w:t>
      </w:r>
      <w:r w:rsidRPr="00D6605B">
        <w:rPr>
          <w:rFonts w:asciiTheme="majorHAnsi" w:hAnsiTheme="majorHAnsi" w:cstheme="majorHAnsi"/>
          <w:b/>
          <w:bCs/>
          <w:color w:val="000000" w:themeColor="text1"/>
        </w:rPr>
        <w:t>posiada/ nie posiada</w:t>
      </w:r>
      <w:r w:rsidRPr="00D6605B">
        <w:rPr>
          <w:rFonts w:asciiTheme="majorHAnsi" w:hAnsiTheme="majorHAnsi" w:cstheme="majorHAnsi"/>
          <w:bCs/>
          <w:color w:val="000000" w:themeColor="text1"/>
        </w:rPr>
        <w:t xml:space="preserve"> status(u) dużego przedsiębiorcy w rozumieniu art. 4 pkt 6 ustawy z dnia 8 marca 2013 r. o przeciwdziałaniu nadmiernym opóźnieniom w transakcjach handlowych (</w:t>
      </w:r>
      <w:r w:rsidRPr="00D6605B">
        <w:rPr>
          <w:rFonts w:asciiTheme="majorHAnsi" w:hAnsiTheme="majorHAnsi" w:cstheme="majorHAnsi"/>
          <w:color w:val="000000" w:themeColor="text1"/>
        </w:rPr>
        <w:t>t.j. Dz.U. z 2022 r. poz. 893 ze zm.</w:t>
      </w:r>
      <w:r w:rsidRPr="00D6605B">
        <w:rPr>
          <w:rFonts w:asciiTheme="majorHAnsi" w:hAnsiTheme="majorHAnsi" w:cstheme="majorHAnsi"/>
          <w:bCs/>
          <w:color w:val="000000" w:themeColor="text1"/>
        </w:rPr>
        <w:t xml:space="preserve">) oraz Załącznika I do rozporządzenia Komisji (UE) nr 651/2014 z dnia 17 czerwca 2014 r. uznającego niektóre rodzaje pomocy za zgodne z rynkiem wewnętrznym w zastosowaniu art. 107 i 108 r. Traktatu </w:t>
      </w:r>
      <w:r w:rsidRPr="00D6605B">
        <w:rPr>
          <w:rFonts w:asciiTheme="majorHAnsi" w:hAnsiTheme="majorHAnsi" w:cstheme="majorHAnsi"/>
          <w:bCs/>
          <w:color w:val="000000" w:themeColor="text1"/>
        </w:rPr>
        <w:br/>
        <w:t xml:space="preserve">(Dz. Urz. UE L 187 z 26.06.2014, str. 1, z późn. zm.). NIP Wykonawcy: </w:t>
      </w:r>
      <w:r w:rsidRPr="00D6605B">
        <w:rPr>
          <w:rFonts w:asciiTheme="majorHAnsi" w:hAnsiTheme="majorHAnsi" w:cstheme="majorHAnsi"/>
          <w:color w:val="000000" w:themeColor="text1"/>
        </w:rPr>
        <w:t>………………………………….</w:t>
      </w:r>
    </w:p>
    <w:p w14:paraId="2201BD9A" w14:textId="77777777" w:rsidR="00CA3412" w:rsidRPr="00D6605B" w:rsidRDefault="00CA3412" w:rsidP="001203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</w:p>
    <w:p w14:paraId="26A88AF9" w14:textId="77777777" w:rsidR="00F61CB7" w:rsidRPr="0012030A" w:rsidRDefault="00F61CB7" w:rsidP="0012030A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4AC4991B" w14:textId="10D6CA0D" w:rsidR="00AE6251" w:rsidRPr="00D6605B" w:rsidRDefault="00235465" w:rsidP="00F639B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center"/>
        <w:textAlignment w:val="baseline"/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  <w:t>Rozliczenia z Wykonawcą</w:t>
      </w:r>
    </w:p>
    <w:p w14:paraId="23435C68" w14:textId="67DF47CB" w:rsidR="003329BC" w:rsidRPr="00D6605B" w:rsidRDefault="003329BC" w:rsidP="0012030A">
      <w:pPr>
        <w:numPr>
          <w:ilvl w:val="0"/>
          <w:numId w:val="40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D6605B">
        <w:rPr>
          <w:rFonts w:asciiTheme="majorHAnsi" w:hAnsiTheme="majorHAnsi" w:cstheme="majorHAnsi"/>
          <w:color w:val="000000" w:themeColor="text1"/>
        </w:rPr>
        <w:t xml:space="preserve">Zamawiający w okresie realizacji przedmiotu umowy będzie kwalifikowany do właściwych grup taryfowych, zgodnie z zasadami określonymi w Taryfie. Zmiana grupy taryfowej, zgodnie z zasadami określonymi w Taryfie, nie wymaga zmiany </w:t>
      </w:r>
      <w:r w:rsidR="008962D0" w:rsidRPr="00D6605B">
        <w:rPr>
          <w:rFonts w:asciiTheme="majorHAnsi" w:hAnsiTheme="majorHAnsi" w:cstheme="majorHAnsi"/>
          <w:color w:val="000000" w:themeColor="text1"/>
        </w:rPr>
        <w:t>u</w:t>
      </w:r>
      <w:r w:rsidRPr="00D6605B">
        <w:rPr>
          <w:rFonts w:asciiTheme="majorHAnsi" w:hAnsiTheme="majorHAnsi" w:cstheme="majorHAnsi"/>
          <w:color w:val="000000" w:themeColor="text1"/>
        </w:rPr>
        <w:t>mowy.</w:t>
      </w:r>
    </w:p>
    <w:p w14:paraId="7456C406" w14:textId="1899CD86" w:rsidR="003E12E5" w:rsidRPr="001135EC" w:rsidRDefault="003329BC" w:rsidP="00027B97">
      <w:pPr>
        <w:numPr>
          <w:ilvl w:val="0"/>
          <w:numId w:val="40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12030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W okresie do 110 dni od dnia zawarcia umowy o przedmiotowe zamówienie publiczne Zamawiający będzie rozliczany za usługi dystrybucji paliwa gazowego na zasadach umowy rozruchowej z rozdziału 15 taryfy PSG oraz w czasie całego okresu trwania umowy Zamawiający oczekuje rozliczenia na zasadach wskazanych w rozdziale 16 Taryfy PSG Zasady rozliczeń za świadczenie usług dystrybucji związanych ze szczególnymi warunkami ich świadczenia. </w:t>
      </w:r>
    </w:p>
    <w:p w14:paraId="7DB3B948" w14:textId="238FD6BF" w:rsidR="00154531" w:rsidRPr="00D6605B" w:rsidRDefault="00154531" w:rsidP="003E12E5">
      <w:pPr>
        <w:numPr>
          <w:ilvl w:val="0"/>
          <w:numId w:val="40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Usługę dystrybucji Paliwa gazowego do instalacji znajdującej się w 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o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biekcie, o którym mowa w załączniku nr </w:t>
      </w:r>
      <w:r w:rsidR="006A183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2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do 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projektowanych postanowień umowy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, będzie wykonywał Operator systemu dystrybucyjnego (OSD). Dla potrzeb </w:t>
      </w:r>
      <w:r w:rsidR="008962D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u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mowy kompleksowej jest to Polska Spółka Gazownictwa sp. z o.o. z siedzibą w Tarnowie, ul. W. Bandrowskiego 16, 33-100 Tarnów, wpisana do Krajowego Rejestru Sądowego pod numerem KRS: 0000374001,NIP: 5252496411, REGON: 142739519 (dalej: PSG). </w:t>
      </w:r>
      <w:r w:rsidR="0048699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Wykonawca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udostępnia PSG dane osobowe Zamawiającego w niezbędnym zakresie, w celu związanym ze świadczeniem przez PSG usług dystrybucji Paliwa gazowego. Administratorem Danych Osobowych Zamawiającego przetwarzanych w tym celu jest PSG. Informacje dotyczące przetwarzania danych osobowych Zamawiającego przez PSG, zamieszczone są na stronie internetowej PSG www.psgaz.pl. </w:t>
      </w:r>
    </w:p>
    <w:p w14:paraId="07F54D8B" w14:textId="4EF46F50" w:rsidR="00FF3605" w:rsidRPr="00D6605B" w:rsidRDefault="00FF3605" w:rsidP="001135EC">
      <w:pPr>
        <w:numPr>
          <w:ilvl w:val="0"/>
          <w:numId w:val="40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Cena Paliwa gazowego jest wskazana w Taryfie/Cenniku Wykonawcy </w:t>
      </w:r>
      <w:r w:rsidR="008962D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w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cał</w:t>
      </w:r>
      <w:r w:rsidR="008962D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ym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okres</w:t>
      </w:r>
      <w:r w:rsidR="008962D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ie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obowiązywania </w:t>
      </w:r>
      <w:r w:rsidR="008962D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u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mowy o ile Zamawiający nie wybierze rozliczeń dla poszczególnych okresów rozliczeniowych na bazie indeksów TGE i zasad rozliczeń </w:t>
      </w:r>
      <w:r w:rsidR="00CA341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uwzględniających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zasad</w:t>
      </w:r>
      <w:r w:rsidR="009D4942">
        <w:rPr>
          <w:rFonts w:asciiTheme="majorHAnsi" w:eastAsia="Times New Roman" w:hAnsiTheme="majorHAnsi" w:cstheme="majorHAnsi"/>
          <w:color w:val="000000" w:themeColor="text1"/>
          <w:lang w:eastAsia="pl-PL"/>
        </w:rPr>
        <w:t>y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wskazan</w:t>
      </w:r>
      <w:r w:rsidR="009D4942">
        <w:rPr>
          <w:rFonts w:asciiTheme="majorHAnsi" w:eastAsia="Times New Roman" w:hAnsiTheme="majorHAnsi" w:cstheme="majorHAnsi"/>
          <w:color w:val="000000" w:themeColor="text1"/>
          <w:lang w:eastAsia="pl-PL"/>
        </w:rPr>
        <w:t>e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w </w:t>
      </w:r>
      <w:r w:rsidR="00CA341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załączonym przez Wykonawcę do oferty projekcie umowy (oraz</w:t>
      </w:r>
      <w:r w:rsidR="00D96FCC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aneksie lub</w:t>
      </w:r>
      <w:r w:rsidR="00CA341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aneksach do umowy)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.</w:t>
      </w:r>
    </w:p>
    <w:p w14:paraId="68AC79B4" w14:textId="3E7FDA19" w:rsidR="00FF3605" w:rsidRPr="00D6605B" w:rsidRDefault="00FF3605" w:rsidP="001135EC">
      <w:pPr>
        <w:numPr>
          <w:ilvl w:val="0"/>
          <w:numId w:val="40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Zamawiający informuje Wykonawcę na 5 dni roboczych przed ostatnim dniem obrotu instrumentów na Rynku Terminowym Produktów z dostawą gazu na rok 2023 (i adekwatnie dla kolejnych lat 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realizacji przedmiotu u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mowy) wskazanym w Kalendarzu notowań – </w:t>
      </w:r>
      <w:r w:rsidR="006A183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z</w:t>
      </w:r>
      <w:r w:rsidRPr="0012030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ałącznik </w:t>
      </w:r>
      <w:r w:rsidR="006A183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n</w:t>
      </w:r>
      <w:r w:rsidRPr="0012030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r </w:t>
      </w:r>
      <w:r w:rsidR="006A1836" w:rsidRPr="0012030A">
        <w:rPr>
          <w:rFonts w:asciiTheme="majorHAnsi" w:eastAsia="Times New Roman" w:hAnsiTheme="majorHAnsi" w:cstheme="majorHAnsi"/>
          <w:color w:val="000000" w:themeColor="text1"/>
          <w:lang w:eastAsia="pl-PL"/>
        </w:rPr>
        <w:t>5</w:t>
      </w:r>
      <w:r w:rsidRPr="0012030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do </w:t>
      </w:r>
      <w:r w:rsidR="006A1836" w:rsidRPr="0012030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projektowanych postanowień umownych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o wyborze instrumentu i Wykonawca udostępnia system informatyczny niezbędny do prowadzenia zakupu Paliwa gazowego na platformie i 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a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neksuje 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u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mowę. </w:t>
      </w:r>
    </w:p>
    <w:p w14:paraId="7464EF01" w14:textId="77777777" w:rsidR="00594C21" w:rsidRPr="00D6605B" w:rsidRDefault="00594C21" w:rsidP="001135EC">
      <w:pPr>
        <w:numPr>
          <w:ilvl w:val="0"/>
          <w:numId w:val="40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bookmarkStart w:id="1" w:name="Tekst17"/>
      <w:r w:rsidRPr="00D6605B">
        <w:rPr>
          <w:rFonts w:asciiTheme="majorHAnsi" w:hAnsiTheme="majorHAnsi" w:cstheme="majorHAnsi"/>
          <w:color w:val="000000" w:themeColor="text1"/>
        </w:rPr>
        <w:t xml:space="preserve">Wynagrodzenie </w:t>
      </w:r>
      <w:r w:rsidR="00AE6251" w:rsidRPr="00D6605B">
        <w:rPr>
          <w:rFonts w:asciiTheme="majorHAnsi" w:hAnsiTheme="majorHAnsi" w:cstheme="majorHAnsi"/>
          <w:color w:val="000000" w:themeColor="text1"/>
        </w:rPr>
        <w:t>Wykonawcy</w:t>
      </w:r>
      <w:r w:rsidRPr="00D6605B">
        <w:rPr>
          <w:rFonts w:asciiTheme="majorHAnsi" w:hAnsiTheme="majorHAnsi" w:cstheme="majorHAnsi"/>
          <w:color w:val="000000" w:themeColor="text1"/>
        </w:rPr>
        <w:t>:</w:t>
      </w:r>
    </w:p>
    <w:p w14:paraId="6ECD8636" w14:textId="46A614C3" w:rsidR="00AE6251" w:rsidRPr="00D6605B" w:rsidRDefault="00AE6251" w:rsidP="00EC11D9">
      <w:pPr>
        <w:pStyle w:val="Akapitzlist"/>
        <w:numPr>
          <w:ilvl w:val="0"/>
          <w:numId w:val="27"/>
        </w:numPr>
        <w:spacing w:after="0" w:line="276" w:lineRule="auto"/>
        <w:ind w:left="993" w:hanging="426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hAnsiTheme="majorHAnsi" w:cstheme="majorHAnsi"/>
          <w:color w:val="000000" w:themeColor="text1"/>
        </w:rPr>
        <w:t xml:space="preserve">z tytułu pobranego Paliwa gazowego </w:t>
      </w:r>
      <w:r w:rsidR="00E5395A" w:rsidRPr="00D6605B">
        <w:rPr>
          <w:rFonts w:asciiTheme="majorHAnsi" w:hAnsiTheme="majorHAnsi" w:cstheme="majorHAnsi"/>
          <w:color w:val="000000" w:themeColor="text1"/>
        </w:rPr>
        <w:t xml:space="preserve">będzie naliczane </w:t>
      </w:r>
      <w:r w:rsidRPr="00D6605B">
        <w:rPr>
          <w:rFonts w:asciiTheme="majorHAnsi" w:hAnsiTheme="majorHAnsi" w:cstheme="majorHAnsi"/>
          <w:color w:val="000000" w:themeColor="text1"/>
        </w:rPr>
        <w:t xml:space="preserve">w wysokości równej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faktycznej ilości pobranego Paliwa gazowego i cen jednostkowych 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określonych według zasad, o których mowa w</w:t>
      </w:r>
      <w:r w:rsidR="009D494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Umowie i stosownym Aneksie lub Aneksach do Umowy</w:t>
      </w:r>
      <w:r w:rsidR="004B023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E5395A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;</w:t>
      </w:r>
    </w:p>
    <w:p w14:paraId="5DA2A79F" w14:textId="48E72AD9" w:rsidR="00AE6251" w:rsidRPr="00D6605B" w:rsidRDefault="00E5395A" w:rsidP="009A2260">
      <w:pPr>
        <w:pStyle w:val="Akapitzlist"/>
        <w:numPr>
          <w:ilvl w:val="0"/>
          <w:numId w:val="27"/>
        </w:numPr>
        <w:spacing w:after="0" w:line="276" w:lineRule="auto"/>
        <w:ind w:left="993" w:hanging="426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 tytułu świadczenia </w:t>
      </w:r>
      <w:r w:rsidR="00AE6251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usług dystrybucji Paliwa gazowego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naliczane będzie w wysokości równej </w:t>
      </w:r>
      <w:r w:rsidR="00AE6251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obowiązujący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m</w:t>
      </w:r>
      <w:r w:rsidR="00AE6251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stawkom (</w:t>
      </w:r>
      <w:r w:rsidR="00AE6251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w danym okresie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)</w:t>
      </w:r>
      <w:r w:rsidR="00AE6251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Taryfy PSG jako OSD, sieci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do </w:t>
      </w:r>
      <w:r w:rsidR="00AE6251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które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j </w:t>
      </w:r>
      <w:r w:rsidR="00AE6251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Zamawiający </w:t>
      </w:r>
      <w:r w:rsidR="0048699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/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O</w:t>
      </w:r>
      <w:r w:rsidR="00AE6251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dbiorca jest przyłączony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.</w:t>
      </w:r>
    </w:p>
    <w:bookmarkEnd w:id="1"/>
    <w:p w14:paraId="07DAE6FE" w14:textId="5149965D" w:rsidR="00AE6251" w:rsidRPr="00D6605B" w:rsidRDefault="00AE6251" w:rsidP="009A3D9A">
      <w:pPr>
        <w:numPr>
          <w:ilvl w:val="0"/>
          <w:numId w:val="40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1135EC">
        <w:rPr>
          <w:rFonts w:asciiTheme="majorHAnsi" w:hAnsiTheme="majorHAnsi" w:cstheme="majorHAnsi"/>
          <w:color w:val="000000" w:themeColor="text1"/>
        </w:rPr>
        <w:t>Faktury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za kompleksową dostawę gazu Wykonawca wystawiać będzie na Odbiorcę</w:t>
      </w:r>
      <w:r w:rsidR="00DB064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jeden raz w miesiącu</w:t>
      </w:r>
      <w:r w:rsidR="003717AE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. </w:t>
      </w:r>
    </w:p>
    <w:p w14:paraId="73DC436F" w14:textId="0B35E40B" w:rsidR="00AE6251" w:rsidRPr="00D6605B" w:rsidRDefault="00AE6251" w:rsidP="001135EC">
      <w:pPr>
        <w:numPr>
          <w:ilvl w:val="0"/>
          <w:numId w:val="40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O zmianach danych konta bankowego lub danych adresowych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Wykonawca i Zamawiający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zobowiązują się wzajemnie powiadamiać pod rygorem poniesienia kosztów związanych z mylnymi operacjami bankowymi.</w:t>
      </w:r>
    </w:p>
    <w:p w14:paraId="063551CC" w14:textId="77777777" w:rsidR="00AE6251" w:rsidRPr="00D6605B" w:rsidRDefault="00AE6251" w:rsidP="00F639B2">
      <w:pPr>
        <w:spacing w:after="0" w:line="276" w:lineRule="auto"/>
        <w:ind w:left="567" w:hanging="567"/>
        <w:jc w:val="center"/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</w:pPr>
    </w:p>
    <w:p w14:paraId="755EB664" w14:textId="77777777" w:rsidR="00AE6251" w:rsidRPr="00D6605B" w:rsidRDefault="00AE6251" w:rsidP="00F639B2">
      <w:pPr>
        <w:spacing w:after="0" w:line="276" w:lineRule="auto"/>
        <w:ind w:left="567" w:hanging="567"/>
        <w:jc w:val="center"/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</w:pPr>
    </w:p>
    <w:p w14:paraId="2582A07B" w14:textId="3A11BA98" w:rsidR="009A3D9A" w:rsidRPr="00D6605B" w:rsidRDefault="009A3D9A" w:rsidP="00F639B2">
      <w:pPr>
        <w:spacing w:after="0" w:line="276" w:lineRule="auto"/>
        <w:ind w:left="567" w:hanging="567"/>
        <w:jc w:val="center"/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  <w:t xml:space="preserve">Zmiany umowy </w:t>
      </w:r>
    </w:p>
    <w:p w14:paraId="7A8E1838" w14:textId="6E5D8F6A" w:rsidR="00AE6251" w:rsidRPr="00027B97" w:rsidRDefault="00AE6251" w:rsidP="00027B97">
      <w:pPr>
        <w:pStyle w:val="Akapitzlist"/>
        <w:numPr>
          <w:ilvl w:val="3"/>
          <w:numId w:val="16"/>
        </w:numPr>
        <w:spacing w:after="0" w:line="276" w:lineRule="auto"/>
        <w:ind w:left="567" w:hanging="425"/>
        <w:jc w:val="both"/>
        <w:rPr>
          <w:rFonts w:asciiTheme="majorHAnsi" w:hAnsiTheme="majorHAnsi" w:cstheme="majorHAnsi"/>
          <w:color w:val="000000" w:themeColor="text1"/>
        </w:rPr>
      </w:pPr>
      <w:bookmarkStart w:id="2" w:name="_Hlk109728484"/>
      <w:r w:rsidRPr="00027B97">
        <w:rPr>
          <w:rFonts w:asciiTheme="majorHAnsi" w:hAnsiTheme="majorHAnsi" w:cstheme="majorHAnsi"/>
          <w:color w:val="000000" w:themeColor="text1"/>
        </w:rPr>
        <w:t>Zgodnie z treścią art. 455 ustawy Prawo zamówień publicznych Zamawiający/Odbiorca dopuszcza wprowadzenie istotnych zmian w treści Umowy w zakresie:</w:t>
      </w:r>
    </w:p>
    <w:p w14:paraId="38440698" w14:textId="0A2EBE74" w:rsidR="00AE6251" w:rsidRPr="00D6605B" w:rsidRDefault="00EC11D9" w:rsidP="00027B9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hAnsiTheme="majorHAnsi" w:cstheme="majorHAnsi"/>
          <w:color w:val="000000" w:themeColor="text1"/>
        </w:rPr>
        <w:t>Z</w:t>
      </w:r>
      <w:r w:rsidR="00AE6251" w:rsidRPr="00D6605B">
        <w:rPr>
          <w:rFonts w:asciiTheme="majorHAnsi" w:hAnsiTheme="majorHAnsi" w:cstheme="majorHAnsi"/>
          <w:color w:val="000000" w:themeColor="text1"/>
        </w:rPr>
        <w:t>miany ceny paliwa gazowego oraz opłaty abonamentowej w przypadku:</w:t>
      </w:r>
    </w:p>
    <w:p w14:paraId="24BDBE93" w14:textId="77777777" w:rsidR="00AE6251" w:rsidRPr="00D6605B" w:rsidRDefault="00AE6251" w:rsidP="00EC11D9">
      <w:pPr>
        <w:pStyle w:val="Tekstpodstawowy"/>
        <w:numPr>
          <w:ilvl w:val="4"/>
          <w:numId w:val="26"/>
        </w:numPr>
        <w:suppressAutoHyphens/>
        <w:spacing w:line="276" w:lineRule="auto"/>
        <w:ind w:left="1701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6605B">
        <w:rPr>
          <w:rFonts w:asciiTheme="majorHAnsi" w:hAnsiTheme="majorHAnsi" w:cstheme="majorHAnsi"/>
          <w:color w:val="000000" w:themeColor="text1"/>
          <w:sz w:val="22"/>
          <w:szCs w:val="22"/>
        </w:rPr>
        <w:t>stawki podatku od towarów i usług oraz podatku akcyzowego;</w:t>
      </w:r>
    </w:p>
    <w:p w14:paraId="1E44E093" w14:textId="77777777" w:rsidR="00AE6251" w:rsidRPr="00D6605B" w:rsidRDefault="00AE6251" w:rsidP="00EC11D9">
      <w:pPr>
        <w:pStyle w:val="Tekstpodstawowy"/>
        <w:numPr>
          <w:ilvl w:val="4"/>
          <w:numId w:val="26"/>
        </w:numPr>
        <w:suppressAutoHyphens/>
        <w:spacing w:line="276" w:lineRule="auto"/>
        <w:ind w:left="1701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6605B">
        <w:rPr>
          <w:rFonts w:asciiTheme="majorHAnsi" w:hAnsiTheme="majorHAnsi" w:cstheme="majorHAnsi"/>
          <w:color w:val="000000" w:themeColor="text1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 (t. j. Dz.U. z 2020 poz. 2207);</w:t>
      </w:r>
    </w:p>
    <w:p w14:paraId="536832B4" w14:textId="77777777" w:rsidR="00AE6251" w:rsidRPr="00D6605B" w:rsidRDefault="00AE6251" w:rsidP="00EC11D9">
      <w:pPr>
        <w:pStyle w:val="Tekstpodstawowy"/>
        <w:numPr>
          <w:ilvl w:val="4"/>
          <w:numId w:val="26"/>
        </w:numPr>
        <w:suppressAutoHyphens/>
        <w:spacing w:line="276" w:lineRule="auto"/>
        <w:ind w:left="1701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6605B">
        <w:rPr>
          <w:rFonts w:asciiTheme="majorHAnsi" w:hAnsiTheme="majorHAnsi" w:cstheme="majorHAnsi"/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5F6E1248" w14:textId="77777777" w:rsidR="00AE6251" w:rsidRPr="00D6605B" w:rsidRDefault="00AE6251" w:rsidP="00EC11D9">
      <w:pPr>
        <w:pStyle w:val="Tekstpodstawowy"/>
        <w:numPr>
          <w:ilvl w:val="4"/>
          <w:numId w:val="26"/>
        </w:numPr>
        <w:suppressAutoHyphens/>
        <w:spacing w:line="276" w:lineRule="auto"/>
        <w:ind w:left="1701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6605B">
        <w:rPr>
          <w:rFonts w:asciiTheme="majorHAnsi" w:hAnsiTheme="majorHAnsi" w:cstheme="majorHAnsi"/>
          <w:color w:val="000000" w:themeColor="text1"/>
          <w:sz w:val="22"/>
          <w:szCs w:val="22"/>
        </w:rPr>
        <w:t>zasad gromadzenia i wysokości wpłat do pracowniczych planów kapitałowych, o których mowa w ustawie z dnia 4 października 2018 r. o pracowniczych planach kapitałowych (tj. Dz. U. z 2020r., poz. 1342 ze zm.)</w:t>
      </w:r>
    </w:p>
    <w:p w14:paraId="1CC04DC4" w14:textId="141533F3" w:rsidR="00AE6251" w:rsidRPr="00D6605B" w:rsidRDefault="00AE6251" w:rsidP="00EC11D9">
      <w:pPr>
        <w:pStyle w:val="Akapitzlist"/>
        <w:numPr>
          <w:ilvl w:val="4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1701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zmiany charakteru Odbiorcy w kontekście zapisów ustawy z dnia 6 grudnia 2008 r. o podatku akcyzowym (t. j. Dz. U. z 2022 poz. 143 z późn zm.) oraz ustawy z dnia 20 maja 2016 roku o efektywności energetycznej (t. j. Dz. U. z 2021 r. poz. 2166);</w:t>
      </w:r>
    </w:p>
    <w:bookmarkEnd w:id="2"/>
    <w:p w14:paraId="2934EDC2" w14:textId="57F5F5E4" w:rsidR="002B5C9B" w:rsidRPr="00D6605B" w:rsidRDefault="002B5C9B" w:rsidP="00D7192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hAnsiTheme="majorHAnsi" w:cstheme="majorHAnsi"/>
          <w:color w:val="000000" w:themeColor="text1"/>
        </w:rPr>
        <w:t>z</w:t>
      </w:r>
      <w:r w:rsidR="00AE6251" w:rsidRPr="00D6605B">
        <w:rPr>
          <w:rFonts w:asciiTheme="majorHAnsi" w:hAnsiTheme="majorHAnsi" w:cstheme="majorHAnsi"/>
          <w:color w:val="000000" w:themeColor="text1"/>
        </w:rPr>
        <w:t>miany</w:t>
      </w:r>
      <w:r w:rsidRPr="00D6605B">
        <w:rPr>
          <w:rFonts w:asciiTheme="majorHAnsi" w:hAnsiTheme="majorHAnsi" w:cstheme="majorHAnsi"/>
          <w:color w:val="000000" w:themeColor="text1"/>
        </w:rPr>
        <w:t xml:space="preserve"> wynagrodzenia należnego Wykonawcy z tytułu pobranego Paliwa gazowego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D7192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uwzględniającego zmianę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sposobu prowadzenia rozliczeń, o których mowa w ….. niniejszego załącznika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na zasadach </w:t>
      </w:r>
      <w:r w:rsidR="00D7192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określonych przez w treści załączonego przez Wykonawcę do oferty projektu umowy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(</w:t>
      </w:r>
      <w:r w:rsidR="00D7192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oraz aneksów do umowy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)</w:t>
      </w:r>
      <w:r w:rsidR="00D7192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C123D0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z tym zastrzeżeniem, że zmiana cennika / taryfy obowiązującej u Wykonawcy nie wymaga sporządzenia aneksu do Umowy</w:t>
      </w:r>
      <w:r w:rsidR="00CD07EA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;</w:t>
      </w:r>
    </w:p>
    <w:p w14:paraId="0AA0622B" w14:textId="1865E22C" w:rsidR="00C123D0" w:rsidRPr="00027B97" w:rsidRDefault="00C123D0" w:rsidP="00D7192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hAnsiTheme="majorHAnsi" w:cstheme="majorHAnsi"/>
          <w:color w:val="000000" w:themeColor="text1"/>
        </w:rPr>
        <w:t xml:space="preserve">zmiany wynagrodzenia należnego Wykonawcy z tytułu świadczenia usług dystrybucji następować będzie zgodnie z </w:t>
      </w:r>
      <w:r w:rsidR="00CD07EA" w:rsidRPr="00D6605B">
        <w:rPr>
          <w:rFonts w:asciiTheme="majorHAnsi" w:hAnsiTheme="majorHAnsi" w:cstheme="majorHAnsi"/>
          <w:color w:val="000000" w:themeColor="text1"/>
        </w:rPr>
        <w:t>obowiązującymi stawkami taryfy PSG jako OSD i nie wymaga sporządzenia aneksu do Umowy</w:t>
      </w:r>
      <w:r w:rsidR="00F76D28" w:rsidRPr="00D6605B">
        <w:rPr>
          <w:rFonts w:asciiTheme="majorHAnsi" w:hAnsiTheme="majorHAnsi" w:cstheme="majorHAnsi"/>
          <w:color w:val="000000" w:themeColor="text1"/>
        </w:rPr>
        <w:t>;</w:t>
      </w:r>
    </w:p>
    <w:p w14:paraId="2DCC5295" w14:textId="55B901EE" w:rsidR="00F76D28" w:rsidRPr="00D6605B" w:rsidRDefault="00F76D28" w:rsidP="00027B9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hAnsiTheme="majorHAnsi" w:cstheme="majorHAnsi"/>
          <w:color w:val="000000" w:themeColor="text1"/>
        </w:rPr>
        <w:t xml:space="preserve">zmiany terminu realizacji przedmiotu niniejszego zamówienia jeżeli Zamawiający w terminie realizacji przedmiotu zamówienia wskazanym w SWZ nie </w:t>
      </w:r>
      <w:r w:rsidR="00404ABA">
        <w:rPr>
          <w:rFonts w:asciiTheme="majorHAnsi" w:hAnsiTheme="majorHAnsi" w:cstheme="majorHAnsi"/>
          <w:color w:val="000000" w:themeColor="text1"/>
        </w:rPr>
        <w:t xml:space="preserve">wyczerpie wartości </w:t>
      </w:r>
      <w:r w:rsidRPr="00D6605B">
        <w:rPr>
          <w:rFonts w:asciiTheme="majorHAnsi" w:hAnsiTheme="majorHAnsi" w:cstheme="majorHAnsi"/>
          <w:color w:val="000000" w:themeColor="text1"/>
        </w:rPr>
        <w:t xml:space="preserve">o której mowa w ust. 5 „Przedmiot umowy” W takim przypadku strony mogą zawrzeć aneks do umowy w zakresie terminu realizacji przedmiotu umowy na dodatkowy okres lecz nie dłużej niż do wyczerpania kwoty, o której mowa w ust. 5 „Przedmiot umowy”. </w:t>
      </w:r>
    </w:p>
    <w:p w14:paraId="40189B16" w14:textId="52B0FCF8" w:rsidR="007C5D06" w:rsidRPr="00D6605B" w:rsidRDefault="007C5D06" w:rsidP="006D7DF9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pl-PL"/>
        </w:rPr>
      </w:pPr>
    </w:p>
    <w:p w14:paraId="21504604" w14:textId="6FB1DF51" w:rsidR="00061122" w:rsidRPr="00D6605B" w:rsidRDefault="00061122" w:rsidP="00F639B2">
      <w:pPr>
        <w:spacing w:after="0" w:line="276" w:lineRule="auto"/>
        <w:ind w:left="567" w:hanging="567"/>
        <w:jc w:val="center"/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  <w:t>Postanowienia końcowe</w:t>
      </w:r>
    </w:p>
    <w:p w14:paraId="6FA9B16D" w14:textId="51215D3A" w:rsidR="00BA27CB" w:rsidRDefault="00BA27CB" w:rsidP="00EC11D9">
      <w:pPr>
        <w:numPr>
          <w:ilvl w:val="0"/>
          <w:numId w:val="22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Zamawiający w okresie realizacji przedmiotu umowy nie dopuszcza obciążania Zamawiającego dodatkowymi kosztami niewskazanymi w dokumentacj</w:t>
      </w:r>
      <w:r w:rsidR="00E74220">
        <w:rPr>
          <w:rFonts w:asciiTheme="majorHAnsi" w:eastAsia="Times New Roman" w:hAnsiTheme="majorHAnsi" w:cstheme="majorHAnsi"/>
          <w:color w:val="000000" w:themeColor="text1"/>
          <w:lang w:eastAsia="pl-PL"/>
        </w:rPr>
        <w:t>i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zamówienia za wyjątkiem </w:t>
      </w:r>
      <w:r w:rsidR="008707FE">
        <w:rPr>
          <w:rFonts w:asciiTheme="majorHAnsi" w:eastAsia="Times New Roman" w:hAnsiTheme="majorHAnsi" w:cstheme="majorHAnsi"/>
          <w:color w:val="000000" w:themeColor="text1"/>
          <w:lang w:eastAsia="pl-PL"/>
        </w:rPr>
        <w:t>wolumenów mieszczących się w przedziale +/- 20% zgłoszonego poboru paliwa gazowego E</w:t>
      </w:r>
      <w:r w:rsidR="00F327E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9D4942">
        <w:rPr>
          <w:rFonts w:asciiTheme="majorHAnsi" w:eastAsia="Times New Roman" w:hAnsiTheme="majorHAnsi" w:cstheme="majorHAnsi"/>
          <w:color w:val="000000" w:themeColor="text1"/>
          <w:lang w:eastAsia="pl-PL"/>
        </w:rPr>
        <w:t>dla danego okresu rozliczeniowego</w:t>
      </w:r>
      <w:r w:rsidR="00F327EB">
        <w:rPr>
          <w:rFonts w:asciiTheme="majorHAnsi" w:eastAsia="Times New Roman" w:hAnsiTheme="majorHAnsi" w:cstheme="majorHAnsi"/>
          <w:color w:val="000000" w:themeColor="text1"/>
          <w:lang w:eastAsia="pl-PL"/>
        </w:rPr>
        <w:t>.</w:t>
      </w:r>
    </w:p>
    <w:p w14:paraId="6689C117" w14:textId="3E54DDB1" w:rsidR="00882C1D" w:rsidRPr="00D6605B" w:rsidRDefault="00882C1D" w:rsidP="00EC11D9">
      <w:pPr>
        <w:numPr>
          <w:ilvl w:val="0"/>
          <w:numId w:val="2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D6605B">
        <w:rPr>
          <w:rFonts w:asciiTheme="majorHAnsi" w:hAnsiTheme="majorHAnsi" w:cstheme="majorHAnsi"/>
          <w:color w:val="000000" w:themeColor="text1"/>
        </w:rPr>
        <w:t xml:space="preserve">W sprawach nie uregulowanych </w:t>
      </w:r>
      <w:r w:rsidR="00BA27CB" w:rsidRPr="00D6605B">
        <w:rPr>
          <w:rFonts w:asciiTheme="majorHAnsi" w:hAnsiTheme="majorHAnsi" w:cstheme="majorHAnsi"/>
          <w:color w:val="000000" w:themeColor="text1"/>
        </w:rPr>
        <w:t xml:space="preserve">zawartą umową o przedmiotowe zamówienie publiczne </w:t>
      </w:r>
      <w:r w:rsidRPr="00D6605B">
        <w:rPr>
          <w:rFonts w:asciiTheme="majorHAnsi" w:hAnsiTheme="majorHAnsi" w:cstheme="majorHAnsi"/>
          <w:color w:val="000000" w:themeColor="text1"/>
        </w:rPr>
        <w:t>zastosowanie mają przepisy ustawy Prawo zamówień publicznych, Kodeksu cywilnego oraz inne obowiązujące przepisy prawa.</w:t>
      </w:r>
    </w:p>
    <w:p w14:paraId="4DC17362" w14:textId="77777777" w:rsidR="00882C1D" w:rsidRPr="00D6605B" w:rsidRDefault="00882C1D" w:rsidP="00EC11D9">
      <w:pPr>
        <w:numPr>
          <w:ilvl w:val="0"/>
          <w:numId w:val="2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  <w:snapToGrid w:val="0"/>
          <w:color w:val="000000" w:themeColor="text1"/>
        </w:rPr>
      </w:pPr>
      <w:r w:rsidRPr="00D6605B">
        <w:rPr>
          <w:rFonts w:asciiTheme="majorHAnsi" w:hAnsiTheme="majorHAnsi" w:cstheme="majorHAnsi"/>
          <w:snapToGrid w:val="0"/>
          <w:color w:val="000000" w:themeColor="text1"/>
        </w:rPr>
        <w:t>Spory powstałe na tle realizacji Umowy będą rozstrzygane przez sąd powszechny właściwy dla siedziby Zamawiającego.</w:t>
      </w:r>
    </w:p>
    <w:p w14:paraId="7A0CE7FB" w14:textId="401F2665" w:rsidR="00AE6251" w:rsidRPr="00D6605B" w:rsidRDefault="00AE6251" w:rsidP="00EC11D9">
      <w:pPr>
        <w:numPr>
          <w:ilvl w:val="0"/>
          <w:numId w:val="22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Integralną częścią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u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mowy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stanowić będą:</w:t>
      </w:r>
    </w:p>
    <w:p w14:paraId="543B15E6" w14:textId="5AF7C74A" w:rsidR="00882C1D" w:rsidRPr="00D6605B" w:rsidRDefault="00882C1D" w:rsidP="00625135">
      <w:pPr>
        <w:numPr>
          <w:ilvl w:val="0"/>
          <w:numId w:val="2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Zał</w:t>
      </w:r>
      <w:r w:rsidR="00787375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ącznik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787375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N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r 1</w:t>
      </w:r>
      <w:r w:rsidR="00C9034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ab/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– </w:t>
      </w:r>
      <w:r w:rsidR="00EC11D9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O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ferta przetargowa Wykonawcy</w:t>
      </w:r>
      <w:r w:rsidR="00787375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,</w:t>
      </w:r>
    </w:p>
    <w:p w14:paraId="45D05074" w14:textId="50F86D11" w:rsidR="00EC11D9" w:rsidRPr="00D6605B" w:rsidRDefault="00EC11D9" w:rsidP="00625135">
      <w:pPr>
        <w:numPr>
          <w:ilvl w:val="0"/>
          <w:numId w:val="2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Załącznik Nr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2</w:t>
      </w:r>
      <w:r w:rsidR="00C9034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ab/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– Dane dotyczące Obiektu, Ilości Paliwa gazowego, </w:t>
      </w:r>
      <w:r w:rsidR="00787375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Mocy umownej,</w:t>
      </w:r>
    </w:p>
    <w:p w14:paraId="4B4373BC" w14:textId="4DDAD001" w:rsidR="00787375" w:rsidRPr="00D6605B" w:rsidRDefault="00787375" w:rsidP="00625135">
      <w:pPr>
        <w:numPr>
          <w:ilvl w:val="0"/>
          <w:numId w:val="2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Załącznik Nr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3</w:t>
      </w:r>
      <w:r w:rsidR="00C9034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ab/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– Taryfa/Cennik - </w:t>
      </w:r>
      <w:r w:rsidRPr="00D6605B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Wykonawcy,</w:t>
      </w:r>
    </w:p>
    <w:p w14:paraId="210B4966" w14:textId="7CC413E7" w:rsidR="00787375" w:rsidRPr="00D6605B" w:rsidRDefault="00787375" w:rsidP="00625135">
      <w:pPr>
        <w:numPr>
          <w:ilvl w:val="0"/>
          <w:numId w:val="2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Załącznik Nr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4</w:t>
      </w:r>
      <w:r w:rsidR="00C9034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ab/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– Taryfa 11 PSG sp. z o.o.,</w:t>
      </w:r>
    </w:p>
    <w:p w14:paraId="0664E20C" w14:textId="1F1AA0EB" w:rsidR="00787375" w:rsidRPr="00D6605B" w:rsidRDefault="00787375" w:rsidP="00B34FF2">
      <w:pPr>
        <w:numPr>
          <w:ilvl w:val="0"/>
          <w:numId w:val="25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Załącznik Nr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5</w:t>
      </w:r>
      <w:r w:rsidR="00C9034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ab/>
      </w:r>
      <w:r w:rsidR="00C95E37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-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Kalendarz notowania instrumentów na Rynku Terminowym Produktów z dostawą gazu</w:t>
      </w:r>
      <w:r w:rsidR="00C9034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na</w:t>
      </w:r>
      <w:r w:rsidR="00B34FF2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rok 2023,</w:t>
      </w:r>
    </w:p>
    <w:p w14:paraId="3FF7E275" w14:textId="6439F209" w:rsidR="00787375" w:rsidRPr="00D6605B" w:rsidRDefault="00787375" w:rsidP="00625135">
      <w:pPr>
        <w:numPr>
          <w:ilvl w:val="0"/>
          <w:numId w:val="25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Załącznik Nr </w:t>
      </w:r>
      <w:r w:rsidR="00F76D28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>6</w:t>
      </w:r>
      <w:r w:rsidR="00C90346"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ab/>
      </w:r>
      <w:r w:rsidRPr="00D6605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- Oświadczenie Odbiorcy o przeznaczeniu Paliwa gazowego na potrzeby naliczenia podatku akcyzowego </w:t>
      </w:r>
      <w:r w:rsidRPr="00D6605B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(wzór Wykonawcy)</w:t>
      </w:r>
    </w:p>
    <w:p w14:paraId="4EBED625" w14:textId="59AD221D" w:rsidR="00AE6251" w:rsidRPr="00D6605B" w:rsidRDefault="00AE6251" w:rsidP="00F639B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</w:p>
    <w:p w14:paraId="1617AE60" w14:textId="25894562" w:rsidR="00A921FC" w:rsidRDefault="00A921FC" w:rsidP="00F76D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</w:p>
    <w:p w14:paraId="1E379666" w14:textId="559179B5" w:rsidR="00A921FC" w:rsidRDefault="00A921FC" w:rsidP="00F76D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</w:p>
    <w:p w14:paraId="48F6E680" w14:textId="42F59CDC" w:rsidR="00A921FC" w:rsidRDefault="00A921FC" w:rsidP="00F76D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</w:p>
    <w:p w14:paraId="638F6E06" w14:textId="49BBE4EC" w:rsidR="00A921FC" w:rsidRDefault="00A921FC" w:rsidP="00F76D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lang w:eastAsia="pl-PL"/>
        </w:rPr>
        <w:t>UWAGA :</w:t>
      </w:r>
    </w:p>
    <w:p w14:paraId="5F793952" w14:textId="77777777" w:rsidR="00C42B45" w:rsidRDefault="00A921FC" w:rsidP="00A921FC">
      <w:pPr>
        <w:pStyle w:val="Tytu"/>
        <w:spacing w:line="276" w:lineRule="auto"/>
        <w:contextualSpacing/>
        <w:jc w:val="both"/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</w:pPr>
      <w:r w:rsidRPr="00027B97">
        <w:rPr>
          <w:rFonts w:asciiTheme="majorHAnsi" w:hAnsiTheme="majorHAnsi" w:cstheme="majorHAnsi"/>
          <w:i/>
          <w:color w:val="0070C0"/>
          <w:sz w:val="20"/>
          <w:szCs w:val="20"/>
          <w:u w:val="none"/>
        </w:rPr>
        <w:t>Zamawiający wymaga aby w przyszłej umowie o przedmiotowe zamówienia publiczne zostały zawarte postanowienia uwzględniające wszystkie wymagania w zakresie projektowanych postanowień umowy</w:t>
      </w:r>
      <w:r w:rsidRPr="00027B9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>.</w:t>
      </w:r>
    </w:p>
    <w:p w14:paraId="68A6BB7F" w14:textId="2AEA9D05" w:rsidR="00A921FC" w:rsidRPr="00027B97" w:rsidRDefault="00A921FC" w:rsidP="00A921FC">
      <w:pPr>
        <w:pStyle w:val="Tytu"/>
        <w:spacing w:line="276" w:lineRule="auto"/>
        <w:contextualSpacing/>
        <w:jc w:val="both"/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/>
        </w:rPr>
      </w:pPr>
      <w:r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Zamawiający dopuszcza </w:t>
      </w:r>
      <w:r w:rsidR="00E74220"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>zawarcie</w:t>
      </w:r>
      <w:r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 umow</w:t>
      </w:r>
      <w:r w:rsidR="00E74220"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>y</w:t>
      </w:r>
      <w:r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 o przedmiotowe zamówienie publiczne na formularzu  umowy zaproponowanym przez Wykonawcę , załączonym do oferty pod warunkiem, iż </w:t>
      </w:r>
      <w:r w:rsidR="00404ABA"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zaproponowane postanowienia </w:t>
      </w:r>
      <w:r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 umowy</w:t>
      </w:r>
      <w:r w:rsidR="00E74220"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 nie</w:t>
      </w:r>
      <w:r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 będzie</w:t>
      </w:r>
      <w:r w:rsidR="00E74220"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 zwierał</w:t>
      </w:r>
      <w:r w:rsidR="00404ABA"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>y</w:t>
      </w:r>
      <w:r w:rsidR="00E74220"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 żadnych</w:t>
      </w:r>
      <w:r w:rsidR="00404ABA" w:rsidRPr="00025C87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 postanowień niezgodnych z projektowanymi postanowieniami umowy, i/lub generującymi inne koszty dla Zamawiającego niż wynikające z projektowanych postanowień umow</w:t>
      </w:r>
      <w:r w:rsidR="00404ABA" w:rsidRPr="00C42B45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>y.</w:t>
      </w:r>
      <w:r w:rsidR="00404ABA">
        <w:rPr>
          <w:rFonts w:asciiTheme="majorHAnsi" w:hAnsiTheme="majorHAnsi" w:cstheme="majorHAnsi"/>
          <w:i/>
          <w:iCs/>
          <w:color w:val="0070C0"/>
          <w:sz w:val="20"/>
          <w:szCs w:val="20"/>
          <w:u w:val="none"/>
          <w:lang w:val="pl-PL" w:eastAsia="pl-PL"/>
        </w:rPr>
        <w:t xml:space="preserve"> </w:t>
      </w:r>
    </w:p>
    <w:p w14:paraId="5F73F34B" w14:textId="77777777" w:rsidR="00A921FC" w:rsidRPr="00D6605B" w:rsidRDefault="00A921FC" w:rsidP="00A921FC">
      <w:p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484A031B" w14:textId="77777777" w:rsidR="00A921FC" w:rsidRPr="00D6605B" w:rsidRDefault="00A921FC" w:rsidP="00F76D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ajorHAnsi" w:eastAsia="Times New Roman" w:hAnsiTheme="majorHAnsi" w:cstheme="majorHAnsi"/>
          <w:color w:val="000000" w:themeColor="text1"/>
          <w:lang w:eastAsia="pl-PL"/>
        </w:rPr>
      </w:pPr>
    </w:p>
    <w:p w14:paraId="1BB83D8B" w14:textId="357CA16E" w:rsidR="00530A7C" w:rsidRPr="00F639B2" w:rsidRDefault="00530A7C" w:rsidP="00A921F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ajorHAnsi" w:eastAsia="Times New Roman" w:hAnsiTheme="majorHAnsi" w:cstheme="majorHAnsi"/>
          <w:b/>
          <w:bCs/>
          <w:iCs/>
          <w:color w:val="000000" w:themeColor="text1"/>
          <w:lang w:eastAsia="pl-PL"/>
        </w:rPr>
      </w:pPr>
    </w:p>
    <w:sectPr w:rsidR="00530A7C" w:rsidRPr="00F639B2" w:rsidSect="00FE72D2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01D4D" w14:textId="77777777" w:rsidR="001431D2" w:rsidRDefault="001431D2" w:rsidP="00AE6251">
      <w:pPr>
        <w:spacing w:after="0" w:line="240" w:lineRule="auto"/>
      </w:pPr>
      <w:r>
        <w:separator/>
      </w:r>
    </w:p>
  </w:endnote>
  <w:endnote w:type="continuationSeparator" w:id="0">
    <w:p w14:paraId="280D5BF4" w14:textId="77777777" w:rsidR="001431D2" w:rsidRDefault="001431D2" w:rsidP="00AE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01548"/>
      <w:docPartObj>
        <w:docPartGallery w:val="Page Numbers (Bottom of Page)"/>
        <w:docPartUnique/>
      </w:docPartObj>
    </w:sdtPr>
    <w:sdtEndPr/>
    <w:sdtContent>
      <w:p w14:paraId="7913B879" w14:textId="0B1B4A6B" w:rsidR="008E60EF" w:rsidRDefault="008E6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F8B">
          <w:rPr>
            <w:noProof/>
          </w:rPr>
          <w:t>5</w:t>
        </w:r>
        <w:r>
          <w:fldChar w:fldCharType="end"/>
        </w:r>
      </w:p>
    </w:sdtContent>
  </w:sdt>
  <w:p w14:paraId="379D1248" w14:textId="77777777" w:rsidR="008E60EF" w:rsidRDefault="008E6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557C" w14:textId="77777777" w:rsidR="001431D2" w:rsidRDefault="001431D2" w:rsidP="00AE6251">
      <w:pPr>
        <w:spacing w:after="0" w:line="240" w:lineRule="auto"/>
      </w:pPr>
      <w:r>
        <w:separator/>
      </w:r>
    </w:p>
  </w:footnote>
  <w:footnote w:type="continuationSeparator" w:id="0">
    <w:p w14:paraId="52F9CB68" w14:textId="77777777" w:rsidR="001431D2" w:rsidRDefault="001431D2" w:rsidP="00AE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68BB1" w14:textId="6FB833C1" w:rsidR="0062073A" w:rsidRDefault="0062073A" w:rsidP="0062073A">
    <w:pPr>
      <w:tabs>
        <w:tab w:val="left" w:pos="3405"/>
      </w:tabs>
      <w:spacing w:after="0" w:line="276" w:lineRule="auto"/>
      <w:ind w:left="426"/>
      <w:jc w:val="right"/>
      <w:rPr>
        <w:rFonts w:asciiTheme="majorHAnsi" w:hAnsiTheme="majorHAnsi" w:cstheme="majorHAnsi"/>
        <w:bCs/>
        <w:i/>
        <w:iCs/>
        <w:sz w:val="18"/>
        <w:szCs w:val="18"/>
      </w:rPr>
    </w:pPr>
    <w:r>
      <w:rPr>
        <w:rFonts w:asciiTheme="majorHAnsi" w:hAnsiTheme="majorHAnsi" w:cstheme="majorHAnsi"/>
        <w:bCs/>
        <w:i/>
        <w:iCs/>
        <w:sz w:val="18"/>
        <w:szCs w:val="18"/>
      </w:rPr>
      <w:t>Kompleksowa dostawa gazu ziemnego</w:t>
    </w:r>
    <w:r w:rsidR="00D31A14">
      <w:rPr>
        <w:rFonts w:asciiTheme="majorHAnsi" w:hAnsiTheme="majorHAnsi" w:cstheme="majorHAnsi"/>
        <w:bCs/>
        <w:i/>
        <w:iCs/>
        <w:sz w:val="18"/>
        <w:szCs w:val="18"/>
      </w:rPr>
      <w:t xml:space="preserve"> E</w:t>
    </w:r>
    <w:r>
      <w:rPr>
        <w:rFonts w:asciiTheme="majorHAnsi" w:hAnsiTheme="majorHAnsi" w:cstheme="majorHAnsi"/>
        <w:bCs/>
        <w:i/>
        <w:iCs/>
        <w:sz w:val="18"/>
        <w:szCs w:val="18"/>
      </w:rPr>
      <w:t xml:space="preserve"> do celów zasilania nowo wybudowanej Stacji Tankowania Gazu </w:t>
    </w:r>
    <w:r w:rsidR="00D31A14">
      <w:rPr>
        <w:rFonts w:asciiTheme="majorHAnsi" w:hAnsiTheme="majorHAnsi" w:cstheme="majorHAnsi"/>
        <w:bCs/>
        <w:i/>
        <w:iCs/>
        <w:sz w:val="18"/>
        <w:szCs w:val="18"/>
      </w:rPr>
      <w:t>CNG</w:t>
    </w:r>
    <w:r w:rsidR="00330F8B">
      <w:rPr>
        <w:rFonts w:asciiTheme="majorHAnsi" w:hAnsiTheme="majorHAnsi" w:cstheme="majorHAnsi"/>
        <w:bCs/>
        <w:i/>
        <w:iCs/>
        <w:sz w:val="18"/>
        <w:szCs w:val="18"/>
      </w:rPr>
      <w:t xml:space="preserve"> </w:t>
    </w:r>
    <w:r>
      <w:rPr>
        <w:rFonts w:asciiTheme="majorHAnsi" w:hAnsiTheme="majorHAnsi" w:cstheme="majorHAnsi"/>
        <w:bCs/>
        <w:i/>
        <w:iCs/>
        <w:sz w:val="18"/>
        <w:szCs w:val="18"/>
      </w:rPr>
      <w:t>Miejskiego Przedsiębiorstwa Oczyszczania Sp. z o.o. w Krakowie obejmująca sprzedaż i świadczenie usług dystrybucji</w:t>
    </w:r>
  </w:p>
  <w:p w14:paraId="6849C4C3" w14:textId="77777777" w:rsidR="0062073A" w:rsidRDefault="0062073A" w:rsidP="0062073A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710E6745" w14:textId="77777777" w:rsidR="0062073A" w:rsidRDefault="0062073A" w:rsidP="0062073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TZ/TT/7/2023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8FB"/>
    <w:multiLevelType w:val="hybridMultilevel"/>
    <w:tmpl w:val="83FE14CC"/>
    <w:lvl w:ilvl="0" w:tplc="EF66C6D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24DF9"/>
    <w:multiLevelType w:val="hybridMultilevel"/>
    <w:tmpl w:val="B992A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D5D"/>
    <w:multiLevelType w:val="hybridMultilevel"/>
    <w:tmpl w:val="D6CCF850"/>
    <w:lvl w:ilvl="0" w:tplc="C5C49970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BBC6266"/>
    <w:multiLevelType w:val="hybridMultilevel"/>
    <w:tmpl w:val="68F4D54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850" w:hanging="283"/>
      </w:pPr>
      <w:rPr>
        <w:b w:val="0"/>
        <w:i w:val="0"/>
        <w:color w:val="auto"/>
      </w:rPr>
    </w:lvl>
    <w:lvl w:ilvl="1" w:tplc="8E4EB024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250498"/>
    <w:multiLevelType w:val="hybridMultilevel"/>
    <w:tmpl w:val="C35C2A8A"/>
    <w:lvl w:ilvl="0" w:tplc="5FB03CD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1A2F"/>
    <w:multiLevelType w:val="hybridMultilevel"/>
    <w:tmpl w:val="320A2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607142"/>
    <w:multiLevelType w:val="hybridMultilevel"/>
    <w:tmpl w:val="B2F86512"/>
    <w:lvl w:ilvl="0" w:tplc="22FC8EF2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rFonts w:asciiTheme="minorHAnsi" w:hAnsiTheme="minorHAnsi" w:cstheme="minorHAnsi" w:hint="default"/>
        <w:b w:val="0"/>
        <w:bCs w:val="0"/>
        <w:color w:val="auto"/>
        <w14:ligatures w14:val="none"/>
        <w14:numForm w14:val="default"/>
        <w14:numSpacing w14:val="default"/>
        <w14:stylisticSets/>
      </w:rPr>
    </w:lvl>
    <w:lvl w:ilvl="1" w:tplc="DCB81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0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3478A"/>
    <w:multiLevelType w:val="hybridMultilevel"/>
    <w:tmpl w:val="5A8E5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0D0CE9"/>
    <w:multiLevelType w:val="hybridMultilevel"/>
    <w:tmpl w:val="0580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74C523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9EAFAA">
      <w:start w:val="1"/>
      <w:numFmt w:val="lowerLetter"/>
      <w:lvlText w:val="%5)"/>
      <w:lvlJc w:val="left"/>
      <w:pPr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57FA"/>
    <w:multiLevelType w:val="hybridMultilevel"/>
    <w:tmpl w:val="CC4E79D2"/>
    <w:lvl w:ilvl="0" w:tplc="50FA0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24783"/>
    <w:multiLevelType w:val="hybridMultilevel"/>
    <w:tmpl w:val="2286F5B4"/>
    <w:lvl w:ilvl="0" w:tplc="C36CB50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7081F"/>
    <w:multiLevelType w:val="hybridMultilevel"/>
    <w:tmpl w:val="E088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86BF0"/>
    <w:multiLevelType w:val="hybridMultilevel"/>
    <w:tmpl w:val="4A6225B4"/>
    <w:lvl w:ilvl="0" w:tplc="39EC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F791F"/>
    <w:multiLevelType w:val="hybridMultilevel"/>
    <w:tmpl w:val="49E41B44"/>
    <w:lvl w:ilvl="0" w:tplc="74963A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22331"/>
    <w:multiLevelType w:val="hybridMultilevel"/>
    <w:tmpl w:val="4BAE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A0B3B"/>
    <w:multiLevelType w:val="hybridMultilevel"/>
    <w:tmpl w:val="EADA3DD6"/>
    <w:lvl w:ilvl="0" w:tplc="04150011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8656D"/>
    <w:multiLevelType w:val="hybridMultilevel"/>
    <w:tmpl w:val="BBF8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11EE"/>
    <w:multiLevelType w:val="hybridMultilevel"/>
    <w:tmpl w:val="2494CF58"/>
    <w:lvl w:ilvl="0" w:tplc="66368284">
      <w:start w:val="1"/>
      <w:numFmt w:val="decimal"/>
      <w:lvlText w:val="%1)"/>
      <w:lvlJc w:val="left"/>
      <w:pPr>
        <w:tabs>
          <w:tab w:val="num" w:pos="927"/>
        </w:tabs>
        <w:ind w:left="850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594A28F9"/>
    <w:multiLevelType w:val="hybridMultilevel"/>
    <w:tmpl w:val="B382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60F82"/>
    <w:multiLevelType w:val="hybridMultilevel"/>
    <w:tmpl w:val="8774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F26D3"/>
    <w:multiLevelType w:val="hybridMultilevel"/>
    <w:tmpl w:val="CC5EE6B4"/>
    <w:lvl w:ilvl="0" w:tplc="1A8A6DF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7A14C4"/>
    <w:multiLevelType w:val="hybridMultilevel"/>
    <w:tmpl w:val="93023A36"/>
    <w:lvl w:ilvl="0" w:tplc="55C0194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8E4EB0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A66F3"/>
    <w:multiLevelType w:val="hybridMultilevel"/>
    <w:tmpl w:val="C09495D2"/>
    <w:lvl w:ilvl="0" w:tplc="44803D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720F"/>
    <w:multiLevelType w:val="hybridMultilevel"/>
    <w:tmpl w:val="F7340E24"/>
    <w:lvl w:ilvl="0" w:tplc="CD3890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714F"/>
    <w:multiLevelType w:val="hybridMultilevel"/>
    <w:tmpl w:val="85322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82B8D"/>
    <w:multiLevelType w:val="hybridMultilevel"/>
    <w:tmpl w:val="B07A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6"/>
    <w:lvlOverride w:ilvl="0">
      <w:startOverride w:val="1"/>
    </w:lvlOverride>
  </w:num>
  <w:num w:numId="29">
    <w:abstractNumId w:val="3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6"/>
  </w:num>
  <w:num w:numId="33">
    <w:abstractNumId w:val="0"/>
  </w:num>
  <w:num w:numId="34">
    <w:abstractNumId w:val="3"/>
  </w:num>
  <w:num w:numId="35">
    <w:abstractNumId w:val="11"/>
  </w:num>
  <w:num w:numId="36">
    <w:abstractNumId w:val="20"/>
  </w:num>
  <w:num w:numId="37">
    <w:abstractNumId w:val="22"/>
  </w:num>
  <w:num w:numId="38">
    <w:abstractNumId w:val="15"/>
  </w:num>
  <w:num w:numId="39">
    <w:abstractNumId w:val="4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1"/>
    <w:rsid w:val="00025C87"/>
    <w:rsid w:val="00027B97"/>
    <w:rsid w:val="0003162E"/>
    <w:rsid w:val="00034CBA"/>
    <w:rsid w:val="000366C5"/>
    <w:rsid w:val="0004193A"/>
    <w:rsid w:val="00054913"/>
    <w:rsid w:val="00061122"/>
    <w:rsid w:val="0006393B"/>
    <w:rsid w:val="0007068F"/>
    <w:rsid w:val="00072437"/>
    <w:rsid w:val="00092825"/>
    <w:rsid w:val="00095794"/>
    <w:rsid w:val="000A6745"/>
    <w:rsid w:val="000B511D"/>
    <w:rsid w:val="000D75A4"/>
    <w:rsid w:val="000F7681"/>
    <w:rsid w:val="001079AA"/>
    <w:rsid w:val="001135EC"/>
    <w:rsid w:val="00114D1C"/>
    <w:rsid w:val="0012030A"/>
    <w:rsid w:val="001276CA"/>
    <w:rsid w:val="00140FF8"/>
    <w:rsid w:val="001413C1"/>
    <w:rsid w:val="001431D2"/>
    <w:rsid w:val="00154531"/>
    <w:rsid w:val="00157D86"/>
    <w:rsid w:val="00173C2E"/>
    <w:rsid w:val="001925A3"/>
    <w:rsid w:val="001B56F6"/>
    <w:rsid w:val="001C5F6D"/>
    <w:rsid w:val="00235465"/>
    <w:rsid w:val="00254EFE"/>
    <w:rsid w:val="00287C3D"/>
    <w:rsid w:val="0029230D"/>
    <w:rsid w:val="002973CD"/>
    <w:rsid w:val="002A2CFD"/>
    <w:rsid w:val="002B5C9B"/>
    <w:rsid w:val="002D538C"/>
    <w:rsid w:val="002F0FB2"/>
    <w:rsid w:val="0031133E"/>
    <w:rsid w:val="00311EA4"/>
    <w:rsid w:val="00315D6F"/>
    <w:rsid w:val="00326B45"/>
    <w:rsid w:val="00330F8B"/>
    <w:rsid w:val="003329BC"/>
    <w:rsid w:val="00365E4F"/>
    <w:rsid w:val="003717AE"/>
    <w:rsid w:val="00374436"/>
    <w:rsid w:val="003B0ED8"/>
    <w:rsid w:val="003C3FDA"/>
    <w:rsid w:val="003C5A55"/>
    <w:rsid w:val="003E12E5"/>
    <w:rsid w:val="003E61E4"/>
    <w:rsid w:val="003E67AA"/>
    <w:rsid w:val="003E79E2"/>
    <w:rsid w:val="003F0245"/>
    <w:rsid w:val="00404ABA"/>
    <w:rsid w:val="004078C4"/>
    <w:rsid w:val="00430CE1"/>
    <w:rsid w:val="00434036"/>
    <w:rsid w:val="0043504E"/>
    <w:rsid w:val="00441500"/>
    <w:rsid w:val="00445F67"/>
    <w:rsid w:val="00446D3A"/>
    <w:rsid w:val="00451786"/>
    <w:rsid w:val="00454D57"/>
    <w:rsid w:val="004631DD"/>
    <w:rsid w:val="004643F0"/>
    <w:rsid w:val="00485755"/>
    <w:rsid w:val="00486992"/>
    <w:rsid w:val="004A62F0"/>
    <w:rsid w:val="004B0238"/>
    <w:rsid w:val="004B30B0"/>
    <w:rsid w:val="004B32C2"/>
    <w:rsid w:val="004F0549"/>
    <w:rsid w:val="00501D15"/>
    <w:rsid w:val="00520E57"/>
    <w:rsid w:val="00526BF3"/>
    <w:rsid w:val="00530A7C"/>
    <w:rsid w:val="00536CCB"/>
    <w:rsid w:val="00553B44"/>
    <w:rsid w:val="00560754"/>
    <w:rsid w:val="005632D3"/>
    <w:rsid w:val="0059248F"/>
    <w:rsid w:val="00594C21"/>
    <w:rsid w:val="005D2DB3"/>
    <w:rsid w:val="005F189F"/>
    <w:rsid w:val="005F4CA8"/>
    <w:rsid w:val="00605E93"/>
    <w:rsid w:val="00615A9D"/>
    <w:rsid w:val="0062073A"/>
    <w:rsid w:val="00625135"/>
    <w:rsid w:val="00642652"/>
    <w:rsid w:val="006520D3"/>
    <w:rsid w:val="0065211A"/>
    <w:rsid w:val="006574A5"/>
    <w:rsid w:val="00657BB5"/>
    <w:rsid w:val="00657CD5"/>
    <w:rsid w:val="0066605C"/>
    <w:rsid w:val="00687B47"/>
    <w:rsid w:val="006A1836"/>
    <w:rsid w:val="006A5037"/>
    <w:rsid w:val="006D7DF9"/>
    <w:rsid w:val="006F098E"/>
    <w:rsid w:val="00702568"/>
    <w:rsid w:val="00731145"/>
    <w:rsid w:val="007535BC"/>
    <w:rsid w:val="007578AB"/>
    <w:rsid w:val="00786792"/>
    <w:rsid w:val="00787375"/>
    <w:rsid w:val="00787992"/>
    <w:rsid w:val="007C5D06"/>
    <w:rsid w:val="007D0D2E"/>
    <w:rsid w:val="007D281F"/>
    <w:rsid w:val="007E2EBB"/>
    <w:rsid w:val="007E3FDC"/>
    <w:rsid w:val="007E5A24"/>
    <w:rsid w:val="007F64D8"/>
    <w:rsid w:val="008111E6"/>
    <w:rsid w:val="00827C1C"/>
    <w:rsid w:val="0086389C"/>
    <w:rsid w:val="008707FE"/>
    <w:rsid w:val="00872E2A"/>
    <w:rsid w:val="008745B8"/>
    <w:rsid w:val="00882C1D"/>
    <w:rsid w:val="0089238D"/>
    <w:rsid w:val="008962D0"/>
    <w:rsid w:val="008B2C89"/>
    <w:rsid w:val="008B7B66"/>
    <w:rsid w:val="008C2F4C"/>
    <w:rsid w:val="008C356D"/>
    <w:rsid w:val="008C735C"/>
    <w:rsid w:val="008E60EF"/>
    <w:rsid w:val="009008C6"/>
    <w:rsid w:val="00901CBC"/>
    <w:rsid w:val="00925807"/>
    <w:rsid w:val="00935832"/>
    <w:rsid w:val="00952754"/>
    <w:rsid w:val="00960012"/>
    <w:rsid w:val="00961BB8"/>
    <w:rsid w:val="0098638F"/>
    <w:rsid w:val="009A2260"/>
    <w:rsid w:val="009A3D9A"/>
    <w:rsid w:val="009B2011"/>
    <w:rsid w:val="009D399A"/>
    <w:rsid w:val="009D4942"/>
    <w:rsid w:val="009F6BE9"/>
    <w:rsid w:val="00A02689"/>
    <w:rsid w:val="00A06AB6"/>
    <w:rsid w:val="00A233AA"/>
    <w:rsid w:val="00A2373E"/>
    <w:rsid w:val="00A50894"/>
    <w:rsid w:val="00A57FB3"/>
    <w:rsid w:val="00A91B9B"/>
    <w:rsid w:val="00A921FC"/>
    <w:rsid w:val="00AA2BEC"/>
    <w:rsid w:val="00AB2E60"/>
    <w:rsid w:val="00AB4EAA"/>
    <w:rsid w:val="00AB589C"/>
    <w:rsid w:val="00AE6251"/>
    <w:rsid w:val="00AF2048"/>
    <w:rsid w:val="00B22196"/>
    <w:rsid w:val="00B247F5"/>
    <w:rsid w:val="00B34FF2"/>
    <w:rsid w:val="00B6193D"/>
    <w:rsid w:val="00B655ED"/>
    <w:rsid w:val="00B91BB4"/>
    <w:rsid w:val="00BA264E"/>
    <w:rsid w:val="00BA27CB"/>
    <w:rsid w:val="00BA4C7E"/>
    <w:rsid w:val="00BB2617"/>
    <w:rsid w:val="00BC0FA8"/>
    <w:rsid w:val="00BC599C"/>
    <w:rsid w:val="00BC74C9"/>
    <w:rsid w:val="00BD3FC7"/>
    <w:rsid w:val="00BE5236"/>
    <w:rsid w:val="00C0447B"/>
    <w:rsid w:val="00C07468"/>
    <w:rsid w:val="00C123D0"/>
    <w:rsid w:val="00C24424"/>
    <w:rsid w:val="00C254F2"/>
    <w:rsid w:val="00C42B45"/>
    <w:rsid w:val="00C541FC"/>
    <w:rsid w:val="00C83515"/>
    <w:rsid w:val="00C86559"/>
    <w:rsid w:val="00C90346"/>
    <w:rsid w:val="00C91BF5"/>
    <w:rsid w:val="00C92765"/>
    <w:rsid w:val="00C95E37"/>
    <w:rsid w:val="00CA3412"/>
    <w:rsid w:val="00CB7587"/>
    <w:rsid w:val="00CD07EA"/>
    <w:rsid w:val="00CD18B0"/>
    <w:rsid w:val="00CE1170"/>
    <w:rsid w:val="00CF4992"/>
    <w:rsid w:val="00CF7839"/>
    <w:rsid w:val="00D13AF2"/>
    <w:rsid w:val="00D25405"/>
    <w:rsid w:val="00D31A14"/>
    <w:rsid w:val="00D57270"/>
    <w:rsid w:val="00D6605B"/>
    <w:rsid w:val="00D71920"/>
    <w:rsid w:val="00D82C50"/>
    <w:rsid w:val="00D8317E"/>
    <w:rsid w:val="00D9597D"/>
    <w:rsid w:val="00D96FCC"/>
    <w:rsid w:val="00DA35ED"/>
    <w:rsid w:val="00DB0648"/>
    <w:rsid w:val="00DB116E"/>
    <w:rsid w:val="00DB7DA2"/>
    <w:rsid w:val="00DC67C4"/>
    <w:rsid w:val="00DE7F19"/>
    <w:rsid w:val="00DF2FCB"/>
    <w:rsid w:val="00DF4EEA"/>
    <w:rsid w:val="00E10272"/>
    <w:rsid w:val="00E332F8"/>
    <w:rsid w:val="00E5395A"/>
    <w:rsid w:val="00E55AEC"/>
    <w:rsid w:val="00E6683E"/>
    <w:rsid w:val="00E7005A"/>
    <w:rsid w:val="00E74220"/>
    <w:rsid w:val="00E9103A"/>
    <w:rsid w:val="00EA0701"/>
    <w:rsid w:val="00EA425B"/>
    <w:rsid w:val="00EC11D9"/>
    <w:rsid w:val="00ED164D"/>
    <w:rsid w:val="00F15CC4"/>
    <w:rsid w:val="00F327EB"/>
    <w:rsid w:val="00F340B8"/>
    <w:rsid w:val="00F400AE"/>
    <w:rsid w:val="00F61CB7"/>
    <w:rsid w:val="00F639B2"/>
    <w:rsid w:val="00F65B21"/>
    <w:rsid w:val="00F65E4C"/>
    <w:rsid w:val="00F76D28"/>
    <w:rsid w:val="00FA618A"/>
    <w:rsid w:val="00FB53D9"/>
    <w:rsid w:val="00FE72D2"/>
    <w:rsid w:val="00FF3605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0E6AD"/>
  <w15:chartTrackingRefBased/>
  <w15:docId w15:val="{355CEC7E-7988-4189-8A7C-B219A74E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1"/>
    <w:qFormat/>
    <w:rsid w:val="00AE62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6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251"/>
    <w:rPr>
      <w:sz w:val="20"/>
      <w:szCs w:val="20"/>
    </w:rPr>
  </w:style>
  <w:style w:type="paragraph" w:customStyle="1" w:styleId="Default">
    <w:name w:val="Default"/>
    <w:qFormat/>
    <w:rsid w:val="00AE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6251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251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AE6251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1"/>
    <w:qFormat/>
    <w:locked/>
    <w:rsid w:val="00AE6251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E6251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AE6251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E6251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251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AE62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6251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251"/>
    <w:rPr>
      <w:vertAlign w:val="superscript"/>
    </w:rPr>
  </w:style>
  <w:style w:type="paragraph" w:customStyle="1" w:styleId="Akapit1">
    <w:name w:val="Akapit 1."/>
    <w:basedOn w:val="Normalny"/>
    <w:link w:val="Akapit1Char"/>
    <w:qFormat/>
    <w:rsid w:val="00AE6251"/>
    <w:pPr>
      <w:widowControl w:val="0"/>
      <w:numPr>
        <w:numId w:val="3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 w:cs="Times New Roman"/>
      <w:snapToGrid w:val="0"/>
    </w:rPr>
  </w:style>
  <w:style w:type="paragraph" w:customStyle="1" w:styleId="Akapit11">
    <w:name w:val="Akapit 1.1."/>
    <w:basedOn w:val="Normalny"/>
    <w:qFormat/>
    <w:rsid w:val="00AE6251"/>
    <w:pPr>
      <w:widowControl w:val="0"/>
      <w:numPr>
        <w:ilvl w:val="1"/>
        <w:numId w:val="3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 w:cs="Times New Roman"/>
      <w:snapToGrid w:val="0"/>
    </w:rPr>
  </w:style>
  <w:style w:type="character" w:customStyle="1" w:styleId="Akapit1Char">
    <w:name w:val="Akapit 1. Char"/>
    <w:link w:val="Akapit1"/>
    <w:rsid w:val="00AE6251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AE6251"/>
    <w:pPr>
      <w:widowControl w:val="0"/>
      <w:numPr>
        <w:ilvl w:val="2"/>
        <w:numId w:val="3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 w:cs="Times New Roman"/>
      <w:snapToGrid w:val="0"/>
    </w:rPr>
  </w:style>
  <w:style w:type="paragraph" w:customStyle="1" w:styleId="Akapit1111">
    <w:name w:val="Akapit 1.1.1.1."/>
    <w:basedOn w:val="Normalny"/>
    <w:qFormat/>
    <w:rsid w:val="00AE6251"/>
    <w:pPr>
      <w:widowControl w:val="0"/>
      <w:numPr>
        <w:ilvl w:val="3"/>
        <w:numId w:val="3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 w:cs="Times New Roman"/>
      <w:snapToGrid w:val="0"/>
    </w:rPr>
  </w:style>
  <w:style w:type="paragraph" w:styleId="Nagwek">
    <w:name w:val="header"/>
    <w:aliases w:val="Znak,Nagłówek strony"/>
    <w:basedOn w:val="Normalny"/>
    <w:link w:val="NagwekZnak"/>
    <w:uiPriority w:val="99"/>
    <w:unhideWhenUsed/>
    <w:rsid w:val="008E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"/>
    <w:basedOn w:val="Domylnaczcionkaakapitu"/>
    <w:link w:val="Nagwek"/>
    <w:uiPriority w:val="99"/>
    <w:rsid w:val="008E60EF"/>
  </w:style>
  <w:style w:type="paragraph" w:styleId="Stopka">
    <w:name w:val="footer"/>
    <w:basedOn w:val="Normalny"/>
    <w:link w:val="StopkaZnak"/>
    <w:uiPriority w:val="99"/>
    <w:unhideWhenUsed/>
    <w:rsid w:val="008E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0EF"/>
  </w:style>
  <w:style w:type="paragraph" w:styleId="Poprawka">
    <w:name w:val="Revision"/>
    <w:hidden/>
    <w:uiPriority w:val="99"/>
    <w:semiHidden/>
    <w:rsid w:val="00560754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7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D86C-EECC-40E3-A318-F8FE2D3C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12864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Agnieszka Starowicz</cp:lastModifiedBy>
  <cp:revision>2</cp:revision>
  <cp:lastPrinted>2023-04-18T09:28:00Z</cp:lastPrinted>
  <dcterms:created xsi:type="dcterms:W3CDTF">2023-04-19T06:42:00Z</dcterms:created>
  <dcterms:modified xsi:type="dcterms:W3CDTF">2023-04-19T06:42:00Z</dcterms:modified>
</cp:coreProperties>
</file>