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D54CB" w14:textId="01E613F7" w:rsidR="00801ACD" w:rsidRPr="00246BB8" w:rsidRDefault="00801ACD" w:rsidP="00801ACD">
      <w:pPr>
        <w:pStyle w:val="Nagwek"/>
        <w:spacing w:line="276" w:lineRule="auto"/>
        <w:jc w:val="right"/>
        <w:rPr>
          <w:rFonts w:asciiTheme="majorHAnsi" w:hAnsiTheme="majorHAnsi" w:cstheme="majorHAnsi"/>
        </w:rPr>
      </w:pPr>
      <w:r w:rsidRPr="00246BB8">
        <w:rPr>
          <w:rFonts w:asciiTheme="majorHAnsi" w:hAnsiTheme="majorHAnsi" w:cstheme="majorHAnsi"/>
        </w:rPr>
        <w:t>Zał. nr 6</w:t>
      </w:r>
      <w:r w:rsidRPr="00246BB8">
        <w:rPr>
          <w:rFonts w:asciiTheme="majorHAnsi" w:hAnsiTheme="majorHAnsi" w:cstheme="majorHAnsi"/>
          <w:bCs/>
          <w:lang w:eastAsia="pl-PL"/>
        </w:rPr>
        <w:t xml:space="preserve"> do SWZ</w:t>
      </w:r>
      <w:r w:rsidR="0056619F">
        <w:rPr>
          <w:rFonts w:asciiTheme="majorHAnsi" w:hAnsiTheme="majorHAnsi" w:cstheme="majorHAnsi"/>
          <w:bCs/>
          <w:lang w:eastAsia="pl-PL"/>
        </w:rPr>
        <w:t xml:space="preserve"> </w:t>
      </w:r>
      <w:r w:rsidR="0056619F" w:rsidRPr="00661BBC">
        <w:rPr>
          <w:rFonts w:asciiTheme="majorHAnsi" w:eastAsia="Times New Roman" w:hAnsiTheme="majorHAnsi" w:cstheme="majorHAnsi"/>
          <w:u w:val="single"/>
          <w:lang w:eastAsia="pl-PL"/>
        </w:rPr>
        <w:t>po modyfi</w:t>
      </w:r>
      <w:bookmarkStart w:id="0" w:name="_GoBack"/>
      <w:bookmarkEnd w:id="0"/>
      <w:r w:rsidR="0056619F" w:rsidRPr="00661BBC">
        <w:rPr>
          <w:rFonts w:asciiTheme="majorHAnsi" w:eastAsia="Times New Roman" w:hAnsiTheme="majorHAnsi" w:cstheme="majorHAnsi"/>
          <w:u w:val="single"/>
          <w:lang w:eastAsia="pl-PL"/>
        </w:rPr>
        <w:t>kacji z dnia 20.04.2023 r.</w:t>
      </w:r>
    </w:p>
    <w:p w14:paraId="1F4AB6B5" w14:textId="77777777" w:rsidR="00801ACD" w:rsidRPr="00246BB8" w:rsidRDefault="00801ACD" w:rsidP="00801ACD">
      <w:pPr>
        <w:pStyle w:val="Nagwek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104FF1C2" w14:textId="77777777" w:rsidR="00801ACD" w:rsidRPr="00261B14" w:rsidRDefault="00801ACD" w:rsidP="00801ACD">
      <w:pPr>
        <w:pStyle w:val="Akapitzlist"/>
        <w:spacing w:after="0" w:line="276" w:lineRule="auto"/>
        <w:ind w:left="360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261B14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Formularz kalkulacji ceny</w:t>
      </w:r>
    </w:p>
    <w:p w14:paraId="1221AA74" w14:textId="77777777" w:rsidR="00801ACD" w:rsidRDefault="00801ACD" w:rsidP="00801ACD">
      <w:pPr>
        <w:pStyle w:val="Akapitzlist"/>
        <w:spacing w:after="0" w:line="276" w:lineRule="auto"/>
        <w:ind w:left="36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5A206E8F" w14:textId="77777777" w:rsidR="00801ACD" w:rsidRDefault="00801ACD" w:rsidP="00801ACD">
      <w:pPr>
        <w:pStyle w:val="Akapitzlist"/>
        <w:spacing w:after="0" w:line="276" w:lineRule="auto"/>
        <w:ind w:left="36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tbl>
      <w:tblPr>
        <w:tblW w:w="14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41"/>
        <w:gridCol w:w="1378"/>
        <w:gridCol w:w="1378"/>
        <w:gridCol w:w="1378"/>
        <w:gridCol w:w="1378"/>
        <w:gridCol w:w="1378"/>
        <w:gridCol w:w="1378"/>
        <w:gridCol w:w="1378"/>
      </w:tblGrid>
      <w:tr w:rsidR="000A63E6" w:rsidRPr="000A63E6" w14:paraId="5DB77233" w14:textId="5710EF66" w:rsidTr="000A63E6">
        <w:trPr>
          <w:trHeight w:val="321"/>
          <w:jc w:val="center"/>
        </w:trPr>
        <w:tc>
          <w:tcPr>
            <w:tcW w:w="562" w:type="dxa"/>
            <w:shd w:val="pct5" w:color="auto" w:fill="auto"/>
            <w:vAlign w:val="center"/>
            <w:hideMark/>
          </w:tcPr>
          <w:p w14:paraId="32557B3B" w14:textId="77777777" w:rsidR="00C41A23" w:rsidRPr="000A63E6" w:rsidRDefault="00C41A23">
            <w:pPr>
              <w:widowControl w:val="0"/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0A63E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641" w:type="dxa"/>
            <w:shd w:val="pct5" w:color="auto" w:fill="auto"/>
            <w:vAlign w:val="center"/>
            <w:hideMark/>
          </w:tcPr>
          <w:p w14:paraId="0EAFC02D" w14:textId="75AA5F2E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A63E6">
              <w:rPr>
                <w:rFonts w:asciiTheme="majorHAnsi" w:hAnsiTheme="majorHAnsi" w:cstheme="majorHAnsi"/>
                <w:b/>
              </w:rPr>
              <w:t>Cennik/indeks</w:t>
            </w:r>
          </w:p>
        </w:tc>
        <w:tc>
          <w:tcPr>
            <w:tcW w:w="1378" w:type="dxa"/>
            <w:shd w:val="pct5" w:color="auto" w:fill="auto"/>
            <w:vAlign w:val="center"/>
            <w:hideMark/>
          </w:tcPr>
          <w:p w14:paraId="076C3845" w14:textId="22C3E0FE" w:rsidR="00C41A23" w:rsidRPr="000A63E6" w:rsidRDefault="00C41A23" w:rsidP="00A43D30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A63E6">
              <w:rPr>
                <w:rFonts w:asciiTheme="majorHAnsi" w:hAnsiTheme="majorHAnsi" w:cstheme="majorHAnsi"/>
                <w:b/>
              </w:rPr>
              <w:t>Cena jednostkowa dla cennik / indeksu [PLN/1MWh]</w:t>
            </w:r>
          </w:p>
        </w:tc>
        <w:tc>
          <w:tcPr>
            <w:tcW w:w="1378" w:type="dxa"/>
            <w:shd w:val="pct5" w:color="auto" w:fill="auto"/>
            <w:vAlign w:val="center"/>
          </w:tcPr>
          <w:p w14:paraId="4AB2E8A8" w14:textId="3A023A51" w:rsidR="00C41A23" w:rsidRPr="000A63E6" w:rsidRDefault="00C41A23" w:rsidP="00261B14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A63E6">
              <w:rPr>
                <w:rFonts w:asciiTheme="majorHAnsi" w:hAnsiTheme="majorHAnsi" w:cstheme="majorHAnsi"/>
                <w:b/>
              </w:rPr>
              <w:t>Podatek Akcyzowy [PLN/1MWh]</w:t>
            </w:r>
          </w:p>
        </w:tc>
        <w:tc>
          <w:tcPr>
            <w:tcW w:w="1378" w:type="dxa"/>
            <w:shd w:val="pct5" w:color="auto" w:fill="auto"/>
          </w:tcPr>
          <w:p w14:paraId="00926920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A63E6">
              <w:rPr>
                <w:rFonts w:asciiTheme="majorHAnsi" w:hAnsiTheme="majorHAnsi" w:cstheme="majorHAnsi"/>
                <w:b/>
              </w:rPr>
              <w:t>Koszt białego certyfikatu</w:t>
            </w:r>
          </w:p>
          <w:p w14:paraId="0B354E50" w14:textId="620916C6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A63E6">
              <w:rPr>
                <w:rFonts w:asciiTheme="majorHAnsi" w:hAnsiTheme="majorHAnsi" w:cstheme="majorHAnsi"/>
                <w:b/>
              </w:rPr>
              <w:t>[PLN/1MWh]</w:t>
            </w:r>
          </w:p>
        </w:tc>
        <w:tc>
          <w:tcPr>
            <w:tcW w:w="1378" w:type="dxa"/>
            <w:shd w:val="pct5" w:color="auto" w:fill="auto"/>
            <w:vAlign w:val="center"/>
          </w:tcPr>
          <w:p w14:paraId="2581EE51" w14:textId="77777777" w:rsidR="00C41A23" w:rsidRPr="000A63E6" w:rsidRDefault="00C41A23" w:rsidP="00A43D30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A63E6">
              <w:rPr>
                <w:rFonts w:asciiTheme="majorHAnsi" w:hAnsiTheme="majorHAnsi" w:cstheme="majorHAnsi"/>
                <w:b/>
              </w:rPr>
              <w:t>Opłata paliwowa</w:t>
            </w:r>
          </w:p>
          <w:p w14:paraId="5FDF73FD" w14:textId="0EF978F3" w:rsidR="00A43D30" w:rsidRPr="000A63E6" w:rsidRDefault="00A43D30" w:rsidP="00A43D30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A63E6">
              <w:rPr>
                <w:rFonts w:asciiTheme="majorHAnsi" w:hAnsiTheme="majorHAnsi" w:cstheme="majorHAnsi"/>
                <w:b/>
              </w:rPr>
              <w:t>[PLN/1MWh]</w:t>
            </w:r>
          </w:p>
        </w:tc>
        <w:tc>
          <w:tcPr>
            <w:tcW w:w="1378" w:type="dxa"/>
            <w:shd w:val="pct5" w:color="auto" w:fill="auto"/>
            <w:vAlign w:val="center"/>
          </w:tcPr>
          <w:p w14:paraId="2F42807C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A63E6">
              <w:rPr>
                <w:rFonts w:asciiTheme="majorHAnsi" w:hAnsiTheme="majorHAnsi" w:cstheme="majorHAnsi"/>
                <w:b/>
              </w:rPr>
              <w:t>Marża i koszt bilansowania gazowego</w:t>
            </w:r>
          </w:p>
          <w:p w14:paraId="5D5EAB33" w14:textId="0EA64A95" w:rsidR="00C41A23" w:rsidRPr="000A63E6" w:rsidRDefault="00A43D30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A63E6">
              <w:rPr>
                <w:rFonts w:asciiTheme="majorHAnsi" w:hAnsiTheme="majorHAnsi" w:cstheme="majorHAnsi"/>
                <w:b/>
              </w:rPr>
              <w:t>[PLN/1MWh]</w:t>
            </w:r>
          </w:p>
        </w:tc>
        <w:tc>
          <w:tcPr>
            <w:tcW w:w="1378" w:type="dxa"/>
            <w:shd w:val="pct5" w:color="auto" w:fill="auto"/>
            <w:vAlign w:val="center"/>
          </w:tcPr>
          <w:p w14:paraId="0B59EB11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A63E6">
              <w:rPr>
                <w:rFonts w:asciiTheme="majorHAnsi" w:hAnsiTheme="majorHAnsi" w:cstheme="majorHAnsi"/>
                <w:b/>
              </w:rPr>
              <w:t>Cena jednostkowa netto</w:t>
            </w:r>
          </w:p>
          <w:p w14:paraId="7BB6A1F0" w14:textId="50C4E5C8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A63E6">
              <w:rPr>
                <w:rFonts w:asciiTheme="majorHAnsi" w:hAnsiTheme="majorHAnsi" w:cstheme="majorHAnsi"/>
                <w:b/>
              </w:rPr>
              <w:t>[PLN/1MWh]</w:t>
            </w:r>
          </w:p>
        </w:tc>
        <w:tc>
          <w:tcPr>
            <w:tcW w:w="1378" w:type="dxa"/>
            <w:shd w:val="pct5" w:color="auto" w:fill="auto"/>
            <w:vAlign w:val="center"/>
          </w:tcPr>
          <w:p w14:paraId="6044B662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A63E6">
              <w:rPr>
                <w:rFonts w:asciiTheme="majorHAnsi" w:hAnsiTheme="majorHAnsi" w:cstheme="majorHAnsi"/>
                <w:b/>
              </w:rPr>
              <w:t>Cena jednostkowa brutto</w:t>
            </w:r>
          </w:p>
          <w:p w14:paraId="3FBD009C" w14:textId="7CD75B9E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A63E6">
              <w:rPr>
                <w:rFonts w:asciiTheme="majorHAnsi" w:hAnsiTheme="majorHAnsi" w:cstheme="majorHAnsi"/>
                <w:b/>
              </w:rPr>
              <w:t>[PLN/1MWh]</w:t>
            </w:r>
          </w:p>
        </w:tc>
      </w:tr>
      <w:tr w:rsidR="00C41A23" w:rsidRPr="000A63E6" w14:paraId="2D76E323" w14:textId="50CD315E" w:rsidTr="000A63E6">
        <w:trPr>
          <w:trHeight w:val="321"/>
          <w:jc w:val="center"/>
        </w:trPr>
        <w:tc>
          <w:tcPr>
            <w:tcW w:w="562" w:type="dxa"/>
            <w:hideMark/>
          </w:tcPr>
          <w:p w14:paraId="61A50523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0A63E6">
              <w:rPr>
                <w:rFonts w:asciiTheme="majorHAnsi" w:hAnsiTheme="majorHAnsi" w:cstheme="majorHAnsi"/>
              </w:rPr>
              <w:t>kol.</w:t>
            </w:r>
          </w:p>
        </w:tc>
        <w:tc>
          <w:tcPr>
            <w:tcW w:w="4641" w:type="dxa"/>
            <w:vAlign w:val="center"/>
            <w:hideMark/>
          </w:tcPr>
          <w:p w14:paraId="5D9D3AB1" w14:textId="24125230" w:rsidR="00C41A23" w:rsidRPr="000A63E6" w:rsidRDefault="00A43D30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63E6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1378" w:type="dxa"/>
            <w:hideMark/>
          </w:tcPr>
          <w:p w14:paraId="73E1834C" w14:textId="6DE7B342" w:rsidR="00C41A23" w:rsidRPr="000A63E6" w:rsidRDefault="00A43D30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63E6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1378" w:type="dxa"/>
          </w:tcPr>
          <w:p w14:paraId="729C7BEB" w14:textId="6CD4D12D" w:rsidR="00C41A23" w:rsidRPr="000A63E6" w:rsidRDefault="00A43D30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63E6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1378" w:type="dxa"/>
          </w:tcPr>
          <w:p w14:paraId="746AC7AB" w14:textId="7510CAEB" w:rsidR="00C41A23" w:rsidRPr="000A63E6" w:rsidRDefault="00A43D30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63E6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1378" w:type="dxa"/>
          </w:tcPr>
          <w:p w14:paraId="1296C5E6" w14:textId="1709F78E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63E6"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  <w:tc>
          <w:tcPr>
            <w:tcW w:w="1378" w:type="dxa"/>
          </w:tcPr>
          <w:p w14:paraId="458BE88B" w14:textId="4FA4EF3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63E6">
              <w:rPr>
                <w:rFonts w:asciiTheme="majorHAnsi" w:hAnsiTheme="majorHAnsi" w:cstheme="majorHAnsi"/>
                <w:b/>
                <w:bCs/>
              </w:rPr>
              <w:t>F</w:t>
            </w:r>
          </w:p>
        </w:tc>
        <w:tc>
          <w:tcPr>
            <w:tcW w:w="1378" w:type="dxa"/>
          </w:tcPr>
          <w:p w14:paraId="58A29D1F" w14:textId="4AC1160D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63E6">
              <w:rPr>
                <w:rFonts w:asciiTheme="majorHAnsi" w:hAnsiTheme="majorHAnsi" w:cstheme="majorHAnsi"/>
                <w:b/>
                <w:bCs/>
              </w:rPr>
              <w:t>G =</w:t>
            </w:r>
            <w:r w:rsidR="00A43D30" w:rsidRPr="000A63E6">
              <w:rPr>
                <w:rFonts w:asciiTheme="majorHAnsi" w:hAnsiTheme="majorHAnsi" w:cstheme="majorHAnsi"/>
                <w:b/>
                <w:bCs/>
              </w:rPr>
              <w:t>B+</w:t>
            </w:r>
            <w:r w:rsidRPr="000A63E6">
              <w:rPr>
                <w:rFonts w:asciiTheme="majorHAnsi" w:hAnsiTheme="majorHAnsi" w:cstheme="majorHAnsi"/>
                <w:b/>
                <w:bCs/>
              </w:rPr>
              <w:t>C+D+E+F</w:t>
            </w:r>
          </w:p>
        </w:tc>
        <w:tc>
          <w:tcPr>
            <w:tcW w:w="1378" w:type="dxa"/>
          </w:tcPr>
          <w:p w14:paraId="6AEBD50A" w14:textId="00511903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63E6">
              <w:rPr>
                <w:rFonts w:asciiTheme="majorHAnsi" w:hAnsiTheme="majorHAnsi" w:cstheme="majorHAnsi"/>
                <w:b/>
                <w:bCs/>
              </w:rPr>
              <w:t>H = G + VAT</w:t>
            </w:r>
          </w:p>
        </w:tc>
      </w:tr>
      <w:tr w:rsidR="00C41A23" w:rsidRPr="000A63E6" w14:paraId="467C0860" w14:textId="7458BE11" w:rsidTr="000A63E6">
        <w:trPr>
          <w:trHeight w:val="321"/>
          <w:jc w:val="center"/>
        </w:trPr>
        <w:tc>
          <w:tcPr>
            <w:tcW w:w="562" w:type="dxa"/>
            <w:hideMark/>
          </w:tcPr>
          <w:p w14:paraId="44F4782D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0A63E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41" w:type="dxa"/>
            <w:vAlign w:val="center"/>
            <w:hideMark/>
          </w:tcPr>
          <w:p w14:paraId="02F60B7C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0A63E6">
              <w:rPr>
                <w:rFonts w:asciiTheme="majorHAnsi" w:hAnsiTheme="majorHAnsi" w:cstheme="majorHAnsi"/>
              </w:rPr>
              <w:t>Cena jednostkowa gazu CNG według cennika / taryfy</w:t>
            </w:r>
          </w:p>
        </w:tc>
        <w:tc>
          <w:tcPr>
            <w:tcW w:w="1378" w:type="dxa"/>
          </w:tcPr>
          <w:p w14:paraId="34233A30" w14:textId="156330CD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6CF521B7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669A83D1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5D0E3FF7" w14:textId="3F7AD718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73F1CB69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5645CC4B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0B807F80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41A23" w:rsidRPr="000A63E6" w14:paraId="3C748F1F" w14:textId="5BA80593" w:rsidTr="000A63E6">
        <w:trPr>
          <w:trHeight w:val="321"/>
          <w:jc w:val="center"/>
        </w:trPr>
        <w:tc>
          <w:tcPr>
            <w:tcW w:w="562" w:type="dxa"/>
            <w:hideMark/>
          </w:tcPr>
          <w:p w14:paraId="1F5A198D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0A63E6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4641" w:type="dxa"/>
            <w:vAlign w:val="center"/>
            <w:hideMark/>
          </w:tcPr>
          <w:p w14:paraId="4943D9D9" w14:textId="3B69A242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0A63E6">
              <w:rPr>
                <w:rFonts w:asciiTheme="majorHAnsi" w:hAnsiTheme="majorHAnsi" w:cstheme="majorHAnsi"/>
              </w:rPr>
              <w:t xml:space="preserve">Cena jednostkowa gazu CNG według </w:t>
            </w:r>
            <w:r w:rsidRPr="000A63E6">
              <w:rPr>
                <w:rFonts w:asciiTheme="majorHAnsi" w:eastAsia="Times New Roman" w:hAnsiTheme="majorHAnsi" w:cstheme="majorHAnsi"/>
                <w:lang w:eastAsia="pl-PL"/>
              </w:rPr>
              <w:t>BASE_M-04-23</w:t>
            </w:r>
          </w:p>
        </w:tc>
        <w:tc>
          <w:tcPr>
            <w:tcW w:w="1378" w:type="dxa"/>
          </w:tcPr>
          <w:p w14:paraId="4B093CF6" w14:textId="1953D309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1BBE06D4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689F7F5D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7D2FDFA0" w14:textId="50BFC96F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37C5671E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7D5633AA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57EABB75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41A23" w:rsidRPr="000A63E6" w14:paraId="001DE733" w14:textId="63265649" w:rsidTr="000A63E6">
        <w:trPr>
          <w:trHeight w:val="321"/>
          <w:jc w:val="center"/>
        </w:trPr>
        <w:tc>
          <w:tcPr>
            <w:tcW w:w="562" w:type="dxa"/>
            <w:hideMark/>
          </w:tcPr>
          <w:p w14:paraId="5EA3655D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0A63E6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4641" w:type="dxa"/>
            <w:vAlign w:val="center"/>
            <w:hideMark/>
          </w:tcPr>
          <w:p w14:paraId="380A03E0" w14:textId="5E82A201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0A63E6">
              <w:rPr>
                <w:rFonts w:asciiTheme="majorHAnsi" w:hAnsiTheme="majorHAnsi" w:cstheme="majorHAnsi"/>
              </w:rPr>
              <w:t xml:space="preserve">Cena jednostkowa gazu CNG według </w:t>
            </w:r>
            <w:r w:rsidRPr="000A63E6">
              <w:rPr>
                <w:rFonts w:asciiTheme="majorHAnsi" w:eastAsia="Times New Roman" w:hAnsiTheme="majorHAnsi" w:cstheme="majorHAnsi"/>
                <w:lang w:eastAsia="pl-PL"/>
              </w:rPr>
              <w:t>BASE_Q-02-23</w:t>
            </w:r>
          </w:p>
        </w:tc>
        <w:tc>
          <w:tcPr>
            <w:tcW w:w="1378" w:type="dxa"/>
          </w:tcPr>
          <w:p w14:paraId="734383A3" w14:textId="3FD3BA5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1FEBEAA1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17290B7A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7550CE8B" w14:textId="49E5FD08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60A0BD16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444C1395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50C9261B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41A23" w:rsidRPr="000A63E6" w14:paraId="6714B5B7" w14:textId="49CEA5E5" w:rsidTr="000A63E6">
        <w:trPr>
          <w:trHeight w:val="321"/>
          <w:jc w:val="center"/>
        </w:trPr>
        <w:tc>
          <w:tcPr>
            <w:tcW w:w="562" w:type="dxa"/>
            <w:hideMark/>
          </w:tcPr>
          <w:p w14:paraId="5CB39AB7" w14:textId="5A3425C8" w:rsidR="00C41A23" w:rsidRPr="000A63E6" w:rsidRDefault="00261B14">
            <w:pPr>
              <w:widowControl w:val="0"/>
              <w:snapToGrid w:val="0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0A63E6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4641" w:type="dxa"/>
            <w:vAlign w:val="center"/>
            <w:hideMark/>
          </w:tcPr>
          <w:p w14:paraId="3CA33EA4" w14:textId="548DED02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0A63E6">
              <w:rPr>
                <w:rFonts w:asciiTheme="majorHAnsi" w:hAnsiTheme="majorHAnsi" w:cstheme="majorHAnsi"/>
              </w:rPr>
              <w:t>Cena jednostkowa gazu CNG według</w:t>
            </w:r>
            <w:r w:rsidRPr="000A63E6">
              <w:rPr>
                <w:rFonts w:asciiTheme="majorHAnsi" w:eastAsia="Times New Roman" w:hAnsiTheme="majorHAnsi" w:cstheme="majorHAnsi"/>
                <w:lang w:eastAsia="pl-PL"/>
              </w:rPr>
              <w:t xml:space="preserve"> BASE_Y-24</w:t>
            </w:r>
          </w:p>
        </w:tc>
        <w:tc>
          <w:tcPr>
            <w:tcW w:w="1378" w:type="dxa"/>
          </w:tcPr>
          <w:p w14:paraId="5DA6E7BA" w14:textId="7D76173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35BA114C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0538C1A5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4341ABF1" w14:textId="06D71B23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7FC0C065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2BE1F4B4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8" w:type="dxa"/>
          </w:tcPr>
          <w:p w14:paraId="17BF234D" w14:textId="77777777" w:rsidR="00C41A23" w:rsidRPr="000A63E6" w:rsidRDefault="00C41A23">
            <w:pPr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DFF50EC" w14:textId="77777777" w:rsidR="00065292" w:rsidRDefault="00065292" w:rsidP="00065292">
      <w:pPr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Uwaga !!!</w:t>
      </w:r>
    </w:p>
    <w:p w14:paraId="6E7F147C" w14:textId="5419C182" w:rsidR="00801ACD" w:rsidRDefault="00801ACD" w:rsidP="00065292">
      <w:pPr>
        <w:pStyle w:val="Akapitzlist"/>
        <w:numPr>
          <w:ilvl w:val="0"/>
          <w:numId w:val="5"/>
        </w:numPr>
        <w:spacing w:after="0" w:line="276" w:lineRule="auto"/>
        <w:ind w:left="1418" w:hanging="41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podatek akcyzowy – </w:t>
      </w:r>
      <w:r>
        <w:rPr>
          <w:rFonts w:asciiTheme="majorHAnsi" w:hAnsiTheme="majorHAnsi" w:cstheme="majorHAnsi"/>
          <w:color w:val="00B050"/>
        </w:rPr>
        <w:t>zgodnie z obowiązującymi przepisami na dzień składania oferty</w:t>
      </w:r>
      <w:r>
        <w:rPr>
          <w:rFonts w:asciiTheme="majorHAnsi" w:hAnsiTheme="majorHAnsi" w:cstheme="majorHAnsi"/>
        </w:rPr>
        <w:t>;</w:t>
      </w:r>
    </w:p>
    <w:p w14:paraId="1C41CE16" w14:textId="7B2188C4" w:rsidR="00801ACD" w:rsidRDefault="00801ACD" w:rsidP="00801ACD">
      <w:pPr>
        <w:pStyle w:val="Akapitzlist"/>
        <w:numPr>
          <w:ilvl w:val="0"/>
          <w:numId w:val="5"/>
        </w:numPr>
        <w:spacing w:after="0" w:line="276" w:lineRule="auto"/>
        <w:ind w:left="1418" w:hanging="41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opłatę paliwową – </w:t>
      </w:r>
      <w:r>
        <w:rPr>
          <w:rFonts w:asciiTheme="majorHAnsi" w:hAnsiTheme="majorHAnsi" w:cstheme="majorHAnsi"/>
          <w:color w:val="00B050"/>
        </w:rPr>
        <w:t>w wysokości obowiązującej na dzień składania oferty</w:t>
      </w:r>
      <w:r>
        <w:rPr>
          <w:rFonts w:asciiTheme="majorHAnsi" w:hAnsiTheme="majorHAnsi" w:cstheme="majorHAnsi"/>
        </w:rPr>
        <w:t>;</w:t>
      </w:r>
    </w:p>
    <w:p w14:paraId="238BF158" w14:textId="5088C0A9" w:rsidR="00801ACD" w:rsidRDefault="00801ACD" w:rsidP="00801ACD">
      <w:pPr>
        <w:pStyle w:val="Akapitzlist"/>
        <w:numPr>
          <w:ilvl w:val="0"/>
          <w:numId w:val="5"/>
        </w:numPr>
        <w:spacing w:after="0" w:line="276" w:lineRule="auto"/>
        <w:ind w:left="1418" w:hanging="41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marżę;</w:t>
      </w:r>
    </w:p>
    <w:p w14:paraId="4AB67E28" w14:textId="164A8B3E" w:rsidR="00801ACD" w:rsidRDefault="00801ACD" w:rsidP="00801ACD">
      <w:pPr>
        <w:pStyle w:val="Akapitzlist"/>
        <w:numPr>
          <w:ilvl w:val="0"/>
          <w:numId w:val="5"/>
        </w:numPr>
        <w:spacing w:after="0" w:line="276" w:lineRule="auto"/>
        <w:ind w:left="1418" w:hanging="41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B050"/>
        </w:rPr>
        <w:t>koszty bilansowania paliwa gazowego</w:t>
      </w:r>
      <w:r w:rsidR="000B16A9">
        <w:rPr>
          <w:rFonts w:asciiTheme="majorHAnsi" w:hAnsiTheme="majorHAnsi" w:cstheme="majorHAnsi"/>
        </w:rPr>
        <w:t>.</w:t>
      </w:r>
    </w:p>
    <w:p w14:paraId="782ABE5E" w14:textId="77777777" w:rsidR="00065292" w:rsidRPr="00246BB8" w:rsidRDefault="00065292" w:rsidP="00801ACD">
      <w:pPr>
        <w:pStyle w:val="Akapitzlist"/>
        <w:spacing w:after="0" w:line="276" w:lineRule="auto"/>
        <w:ind w:left="360"/>
        <w:rPr>
          <w:rFonts w:asciiTheme="majorHAnsi" w:eastAsia="Times New Roman" w:hAnsiTheme="majorHAnsi" w:cstheme="majorHAnsi"/>
          <w:b/>
          <w:lang w:eastAsia="pl-PL"/>
        </w:rPr>
      </w:pPr>
    </w:p>
    <w:p w14:paraId="65FA5533" w14:textId="77777777" w:rsidR="00801ACD" w:rsidRPr="00246BB8" w:rsidRDefault="00801ACD" w:rsidP="00801ACD">
      <w:pPr>
        <w:pStyle w:val="Nagwek1"/>
        <w:keepNext w:val="0"/>
        <w:widowControl w:val="0"/>
        <w:numPr>
          <w:ilvl w:val="0"/>
          <w:numId w:val="1"/>
        </w:numPr>
        <w:tabs>
          <w:tab w:val="num" w:pos="360"/>
          <w:tab w:val="num" w:pos="567"/>
        </w:tabs>
        <w:autoSpaceDE w:val="0"/>
        <w:autoSpaceDN w:val="0"/>
        <w:spacing w:before="73" w:after="0"/>
        <w:ind w:left="567" w:hanging="567"/>
        <w:jc w:val="both"/>
        <w:rPr>
          <w:rFonts w:asciiTheme="majorHAnsi" w:hAnsiTheme="majorHAnsi" w:cstheme="majorHAnsi"/>
          <w:b w:val="0"/>
          <w:bCs w:val="0"/>
          <w:spacing w:val="-4"/>
          <w:sz w:val="22"/>
          <w:szCs w:val="22"/>
        </w:rPr>
      </w:pPr>
      <w:r w:rsidRPr="00246BB8">
        <w:rPr>
          <w:rFonts w:asciiTheme="majorHAnsi" w:hAnsiTheme="majorHAnsi" w:cstheme="majorHAnsi"/>
          <w:b w:val="0"/>
          <w:bCs w:val="0"/>
          <w:spacing w:val="-4"/>
          <w:sz w:val="22"/>
          <w:szCs w:val="22"/>
        </w:rPr>
        <w:t>Zamawiający realizuje dostawy Paliwa gazowego na podstawie Umowy kompleksowej z Wykonawcą. Umowa zapewnia dostawy Paliwa gazowego i rozliczeń na bazie cennika/taryfy Wykonawcy oraz daje możliwość prowadzenia rozliczeń z tytułu dostarczonego paliwa gazowego w oparciu o indeksy TGE:</w:t>
      </w:r>
    </w:p>
    <w:p w14:paraId="4FA3686F" w14:textId="77777777" w:rsidR="00801ACD" w:rsidRPr="00246BB8" w:rsidRDefault="00801ACD" w:rsidP="00801ACD">
      <w:pPr>
        <w:pStyle w:val="Akapitzlist"/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246BB8">
        <w:rPr>
          <w:rFonts w:asciiTheme="majorHAnsi" w:hAnsiTheme="majorHAnsi" w:cstheme="majorHAnsi"/>
        </w:rPr>
        <w:t>Cennika/taryfy Wykonawcy: [             -] zł/MWh</w:t>
      </w:r>
    </w:p>
    <w:p w14:paraId="4AEA3B2C" w14:textId="77777777" w:rsidR="00801ACD" w:rsidRPr="00246BB8" w:rsidRDefault="00801ACD" w:rsidP="00801ACD">
      <w:pPr>
        <w:pStyle w:val="Akapitzlist"/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246BB8">
        <w:rPr>
          <w:rFonts w:asciiTheme="majorHAnsi" w:hAnsiTheme="majorHAnsi" w:cstheme="majorHAnsi"/>
        </w:rPr>
        <w:t xml:space="preserve">oraz notowań indeksów TGE - </w:t>
      </w:r>
      <w:hyperlink r:id="rId8" w:history="1">
        <w:r w:rsidRPr="00246BB8">
          <w:rPr>
            <w:rStyle w:val="Hipercze"/>
            <w:rFonts w:asciiTheme="majorHAnsi" w:hAnsiTheme="majorHAnsi" w:cstheme="majorHAnsi"/>
          </w:rPr>
          <w:t>https://tge.pl/gaz-otf</w:t>
        </w:r>
      </w:hyperlink>
      <w:r w:rsidRPr="00246BB8">
        <w:rPr>
          <w:rFonts w:asciiTheme="majorHAnsi" w:hAnsiTheme="majorHAnsi" w:cstheme="majorHAnsi"/>
        </w:rPr>
        <w:t xml:space="preserve"> oraz https://tge.pl/ z dnia 15 marca 2023 dla indeksów:</w:t>
      </w:r>
    </w:p>
    <w:p w14:paraId="16ECE074" w14:textId="77777777" w:rsidR="00801ACD" w:rsidRPr="00246BB8" w:rsidRDefault="00801ACD" w:rsidP="00801ACD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246BB8">
        <w:rPr>
          <w:rFonts w:asciiTheme="majorHAnsi" w:eastAsia="Times New Roman" w:hAnsiTheme="majorHAnsi" w:cstheme="majorHAnsi"/>
          <w:lang w:eastAsia="pl-PL"/>
        </w:rPr>
        <w:lastRenderedPageBreak/>
        <w:t>TGEgasDA +N; (Podajemy odrębnie składniki ceny)</w:t>
      </w:r>
      <w:r w:rsidRPr="00246BB8">
        <w:rPr>
          <w:rFonts w:asciiTheme="majorHAnsi" w:eastAsia="Times New Roman" w:hAnsiTheme="majorHAnsi" w:cstheme="majorHAnsi"/>
          <w:lang w:eastAsia="pl-PL"/>
        </w:rPr>
        <w:tab/>
      </w:r>
      <w:r w:rsidRPr="00246BB8">
        <w:rPr>
          <w:rFonts w:asciiTheme="majorHAnsi" w:eastAsia="Times New Roman" w:hAnsiTheme="majorHAnsi" w:cstheme="majorHAnsi"/>
          <w:lang w:eastAsia="pl-PL"/>
        </w:rPr>
        <w:tab/>
        <w:t>[…….]; […….] w zł/MWh</w:t>
      </w:r>
    </w:p>
    <w:p w14:paraId="186B70F9" w14:textId="77777777" w:rsidR="00801ACD" w:rsidRPr="00246BB8" w:rsidRDefault="00801ACD" w:rsidP="00801ACD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246BB8">
        <w:rPr>
          <w:rFonts w:asciiTheme="majorHAnsi" w:eastAsia="Times New Roman" w:hAnsiTheme="majorHAnsi" w:cstheme="majorHAnsi"/>
          <w:lang w:eastAsia="pl-PL"/>
        </w:rPr>
        <w:t>BASE_M-04-23 +N; (Podajemy odrębnie składniki ceny)</w:t>
      </w:r>
      <w:r w:rsidRPr="00246BB8">
        <w:rPr>
          <w:rFonts w:asciiTheme="majorHAnsi" w:eastAsia="Times New Roman" w:hAnsiTheme="majorHAnsi" w:cstheme="majorHAnsi"/>
          <w:lang w:eastAsia="pl-PL"/>
        </w:rPr>
        <w:tab/>
        <w:t>[…….]; […….] w zł/MWh</w:t>
      </w:r>
    </w:p>
    <w:p w14:paraId="6CD9C816" w14:textId="77777777" w:rsidR="00801ACD" w:rsidRPr="00246BB8" w:rsidRDefault="00801ACD" w:rsidP="00801ACD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246BB8">
        <w:rPr>
          <w:rFonts w:asciiTheme="majorHAnsi" w:eastAsia="Times New Roman" w:hAnsiTheme="majorHAnsi" w:cstheme="majorHAnsi"/>
          <w:lang w:eastAsia="pl-PL"/>
        </w:rPr>
        <w:t>BASE_Q-02-23 +N; (Podajemy odrębnie składniki ceny)</w:t>
      </w:r>
      <w:r w:rsidRPr="00246BB8">
        <w:rPr>
          <w:rFonts w:asciiTheme="majorHAnsi" w:eastAsia="Times New Roman" w:hAnsiTheme="majorHAnsi" w:cstheme="majorHAnsi"/>
          <w:lang w:eastAsia="pl-PL"/>
        </w:rPr>
        <w:tab/>
        <w:t>[…….]; […….] w zł/MWh</w:t>
      </w:r>
    </w:p>
    <w:p w14:paraId="50E88B30" w14:textId="77777777" w:rsidR="00801ACD" w:rsidRPr="00246BB8" w:rsidRDefault="00801ACD" w:rsidP="00801ACD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246BB8">
        <w:rPr>
          <w:rFonts w:asciiTheme="majorHAnsi" w:eastAsia="Times New Roman" w:hAnsiTheme="majorHAnsi" w:cstheme="majorHAnsi"/>
          <w:lang w:eastAsia="pl-PL"/>
        </w:rPr>
        <w:t>BASE_Y-24 +N; (Podajemy odrębnie składniki ceny)</w:t>
      </w:r>
      <w:r w:rsidRPr="00246BB8">
        <w:rPr>
          <w:rFonts w:asciiTheme="majorHAnsi" w:eastAsia="Times New Roman" w:hAnsiTheme="majorHAnsi" w:cstheme="majorHAnsi"/>
          <w:lang w:eastAsia="pl-PL"/>
        </w:rPr>
        <w:tab/>
      </w:r>
      <w:r w:rsidRPr="00246BB8">
        <w:rPr>
          <w:rFonts w:asciiTheme="majorHAnsi" w:eastAsia="Times New Roman" w:hAnsiTheme="majorHAnsi" w:cstheme="majorHAnsi"/>
          <w:lang w:eastAsia="pl-PL"/>
        </w:rPr>
        <w:tab/>
        <w:t>[…….]; […….] w zł/MWh</w:t>
      </w:r>
    </w:p>
    <w:p w14:paraId="04309DC3" w14:textId="77777777" w:rsidR="00801ACD" w:rsidRPr="00246BB8" w:rsidRDefault="00801ACD" w:rsidP="00801ACD">
      <w:pPr>
        <w:pStyle w:val="Nagwek1"/>
        <w:keepNext w:val="0"/>
        <w:widowControl w:val="0"/>
        <w:numPr>
          <w:ilvl w:val="0"/>
          <w:numId w:val="1"/>
        </w:numPr>
        <w:tabs>
          <w:tab w:val="num" w:pos="360"/>
          <w:tab w:val="num" w:pos="567"/>
        </w:tabs>
        <w:autoSpaceDE w:val="0"/>
        <w:autoSpaceDN w:val="0"/>
        <w:spacing w:before="73" w:after="0"/>
        <w:ind w:left="567" w:right="140" w:hanging="567"/>
        <w:jc w:val="both"/>
        <w:rPr>
          <w:rFonts w:asciiTheme="majorHAnsi" w:hAnsiTheme="majorHAnsi" w:cstheme="majorHAnsi"/>
          <w:b w:val="0"/>
          <w:bCs w:val="0"/>
          <w:spacing w:val="-4"/>
          <w:sz w:val="22"/>
          <w:szCs w:val="22"/>
        </w:rPr>
      </w:pPr>
      <w:r w:rsidRPr="00246BB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Indywidualna cena Paliwa gazowego będzie uwzględniać przynależność do grupy taryfowej </w:t>
      </w:r>
      <w:r>
        <w:rPr>
          <w:rFonts w:asciiTheme="majorHAnsi" w:hAnsiTheme="majorHAnsi" w:cstheme="majorHAnsi"/>
          <w:b w:val="0"/>
          <w:bCs w:val="0"/>
          <w:sz w:val="22"/>
          <w:szCs w:val="22"/>
        </w:rPr>
        <w:br/>
      </w:r>
      <w:r w:rsidRPr="00246BB8">
        <w:rPr>
          <w:rFonts w:asciiTheme="majorHAnsi" w:hAnsiTheme="majorHAnsi" w:cstheme="majorHAnsi"/>
          <w:sz w:val="22"/>
          <w:szCs w:val="22"/>
          <w:lang w:eastAsia="pl-PL"/>
        </w:rPr>
        <w:t>W</w:t>
      </w:r>
      <w:r>
        <w:rPr>
          <w:rFonts w:asciiTheme="majorHAnsi" w:hAnsiTheme="majorHAnsi" w:cstheme="majorHAnsi"/>
          <w:sz w:val="22"/>
          <w:szCs w:val="22"/>
          <w:lang w:eastAsia="pl-PL"/>
        </w:rPr>
        <w:t> </w:t>
      </w:r>
      <w:r>
        <w:rPr>
          <w:rFonts w:asciiTheme="majorHAnsi" w:hAnsiTheme="majorHAnsi" w:cstheme="majorHAnsi"/>
          <w:sz w:val="22"/>
          <w:szCs w:val="22"/>
          <w:lang w:eastAsia="pl-PL"/>
        </w:rPr>
        <w:noBreakHyphen/>
        <w:t> </w:t>
      </w:r>
      <w:r w:rsidRPr="00246BB8">
        <w:rPr>
          <w:rFonts w:asciiTheme="majorHAnsi" w:hAnsiTheme="majorHAnsi" w:cstheme="majorHAnsi"/>
          <w:sz w:val="22"/>
          <w:szCs w:val="22"/>
          <w:lang w:eastAsia="pl-PL"/>
        </w:rPr>
        <w:t>6A.1_TA zgodnie z Taryfą Nr 11 PSG</w:t>
      </w:r>
      <w:r w:rsidRPr="00246BB8">
        <w:rPr>
          <w:rFonts w:asciiTheme="majorHAnsi" w:hAnsiTheme="majorHAnsi" w:cstheme="majorHAnsi"/>
          <w:b w:val="0"/>
          <w:bCs w:val="0"/>
          <w:sz w:val="22"/>
          <w:szCs w:val="22"/>
        </w:rPr>
        <w:t>, do której zakwalifikowane jest Miejsce odbioru objęte Umową i Aneksem/Aneksami.</w:t>
      </w:r>
    </w:p>
    <w:p w14:paraId="5820F5D7" w14:textId="77777777" w:rsidR="00801ACD" w:rsidRPr="00246BB8" w:rsidRDefault="00801ACD" w:rsidP="00801ACD">
      <w:pPr>
        <w:pStyle w:val="Nagwek1"/>
        <w:keepNext w:val="0"/>
        <w:widowControl w:val="0"/>
        <w:numPr>
          <w:ilvl w:val="1"/>
          <w:numId w:val="1"/>
        </w:numPr>
        <w:tabs>
          <w:tab w:val="num" w:pos="360"/>
        </w:tabs>
        <w:autoSpaceDE w:val="0"/>
        <w:autoSpaceDN w:val="0"/>
        <w:spacing w:before="73" w:after="0"/>
        <w:ind w:left="0" w:firstLine="0"/>
        <w:jc w:val="both"/>
        <w:rPr>
          <w:rFonts w:asciiTheme="majorHAnsi" w:hAnsiTheme="majorHAnsi" w:cstheme="majorHAnsi"/>
          <w:b w:val="0"/>
          <w:bCs w:val="0"/>
          <w:spacing w:val="-4"/>
          <w:sz w:val="22"/>
          <w:szCs w:val="22"/>
        </w:rPr>
      </w:pPr>
      <w:r w:rsidRPr="00246BB8">
        <w:rPr>
          <w:rFonts w:asciiTheme="majorHAnsi" w:hAnsiTheme="majorHAnsi" w:cstheme="majorHAnsi"/>
          <w:b w:val="0"/>
          <w:bCs w:val="0"/>
          <w:sz w:val="22"/>
          <w:szCs w:val="22"/>
        </w:rPr>
        <w:t>Wyliczamy stawki stałe i zmienne dystrybucyjne dla 1MWh przy:</w:t>
      </w:r>
    </w:p>
    <w:p w14:paraId="03841532" w14:textId="77777777" w:rsidR="00801ACD" w:rsidRPr="00246BB8" w:rsidRDefault="00801ACD" w:rsidP="00801ACD">
      <w:pPr>
        <w:pStyle w:val="Akapitzlist"/>
        <w:numPr>
          <w:ilvl w:val="2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6BB8">
        <w:rPr>
          <w:rFonts w:asciiTheme="majorHAnsi" w:eastAsia="Times New Roman" w:hAnsiTheme="majorHAnsi" w:cstheme="majorHAnsi"/>
          <w:lang w:eastAsia="pl-PL"/>
        </w:rPr>
        <w:t>Mocy zamówionej 160 Nm</w:t>
      </w:r>
      <w:r w:rsidRPr="00246BB8">
        <w:rPr>
          <w:rFonts w:asciiTheme="majorHAnsi" w:eastAsia="Times New Roman" w:hAnsiTheme="majorHAnsi" w:cstheme="majorHAnsi"/>
          <w:vertAlign w:val="superscript"/>
          <w:lang w:eastAsia="pl-PL"/>
        </w:rPr>
        <w:t>3</w:t>
      </w:r>
      <w:r w:rsidRPr="00246BB8">
        <w:rPr>
          <w:rFonts w:asciiTheme="majorHAnsi" w:eastAsia="Times New Roman" w:hAnsiTheme="majorHAnsi" w:cstheme="majorHAnsi"/>
          <w:lang w:eastAsia="pl-PL"/>
        </w:rPr>
        <w:t>/h (1Nm</w:t>
      </w:r>
      <w:r w:rsidRPr="00246BB8">
        <w:rPr>
          <w:rFonts w:asciiTheme="majorHAnsi" w:eastAsia="Times New Roman" w:hAnsiTheme="majorHAnsi" w:cstheme="majorHAnsi"/>
          <w:vertAlign w:val="superscript"/>
          <w:lang w:eastAsia="pl-PL"/>
        </w:rPr>
        <w:t>3</w:t>
      </w:r>
      <w:r w:rsidRPr="00246BB8">
        <w:rPr>
          <w:rFonts w:asciiTheme="majorHAnsi" w:eastAsia="Times New Roman" w:hAnsiTheme="majorHAnsi" w:cstheme="majorHAnsi"/>
          <w:lang w:eastAsia="pl-PL"/>
        </w:rPr>
        <w:t xml:space="preserve"> to 10,972 kWh) – […….] [gr/(kWh/h)za h]</w:t>
      </w:r>
    </w:p>
    <w:p w14:paraId="7D2DDBB4" w14:textId="77777777" w:rsidR="00801ACD" w:rsidRPr="00246BB8" w:rsidRDefault="00801ACD" w:rsidP="00801ACD">
      <w:pPr>
        <w:pStyle w:val="Akapitzlist"/>
        <w:numPr>
          <w:ilvl w:val="2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6BB8">
        <w:rPr>
          <w:rFonts w:asciiTheme="majorHAnsi" w:eastAsia="Times New Roman" w:hAnsiTheme="majorHAnsi" w:cstheme="majorHAnsi"/>
          <w:lang w:eastAsia="pl-PL"/>
        </w:rPr>
        <w:t>Mocy zamówionej 320 Nm</w:t>
      </w:r>
      <w:r w:rsidRPr="00246BB8">
        <w:rPr>
          <w:rFonts w:asciiTheme="majorHAnsi" w:eastAsia="Times New Roman" w:hAnsiTheme="majorHAnsi" w:cstheme="majorHAnsi"/>
          <w:vertAlign w:val="superscript"/>
          <w:lang w:eastAsia="pl-PL"/>
        </w:rPr>
        <w:t>3</w:t>
      </w:r>
      <w:r w:rsidRPr="00246BB8">
        <w:rPr>
          <w:rFonts w:asciiTheme="majorHAnsi" w:eastAsia="Times New Roman" w:hAnsiTheme="majorHAnsi" w:cstheme="majorHAnsi"/>
          <w:lang w:eastAsia="pl-PL"/>
        </w:rPr>
        <w:t>/h – [………] [gr/(kWh/h)za h]</w:t>
      </w:r>
    </w:p>
    <w:p w14:paraId="63527F9A" w14:textId="77777777" w:rsidR="00801ACD" w:rsidRPr="00246BB8" w:rsidRDefault="00801ACD" w:rsidP="00801ACD">
      <w:pPr>
        <w:pStyle w:val="Nagwek1"/>
        <w:keepNext w:val="0"/>
        <w:widowControl w:val="0"/>
        <w:numPr>
          <w:ilvl w:val="2"/>
          <w:numId w:val="1"/>
        </w:numPr>
        <w:tabs>
          <w:tab w:val="num" w:pos="360"/>
        </w:tabs>
        <w:autoSpaceDE w:val="0"/>
        <w:autoSpaceDN w:val="0"/>
        <w:spacing w:before="73" w:after="0"/>
        <w:ind w:left="0" w:firstLine="0"/>
        <w:jc w:val="both"/>
        <w:rPr>
          <w:rFonts w:asciiTheme="majorHAnsi" w:hAnsiTheme="majorHAnsi" w:cstheme="majorHAnsi"/>
          <w:b w:val="0"/>
          <w:bCs w:val="0"/>
          <w:spacing w:val="-4"/>
          <w:sz w:val="22"/>
          <w:szCs w:val="22"/>
        </w:rPr>
      </w:pPr>
      <w:r w:rsidRPr="00246BB8">
        <w:rPr>
          <w:rFonts w:asciiTheme="majorHAnsi" w:hAnsiTheme="majorHAnsi" w:cstheme="majorHAnsi"/>
          <w:b w:val="0"/>
          <w:bCs w:val="0"/>
          <w:spacing w:val="-4"/>
          <w:sz w:val="22"/>
          <w:szCs w:val="22"/>
        </w:rPr>
        <w:t>Zmienne dla 1MWh - [zł/MWh]</w:t>
      </w:r>
    </w:p>
    <w:p w14:paraId="6EF6107B" w14:textId="77777777" w:rsidR="00801ACD" w:rsidRPr="00246BB8" w:rsidRDefault="00801ACD" w:rsidP="00801ACD">
      <w:pPr>
        <w:pStyle w:val="Nagwek1"/>
        <w:keepNext w:val="0"/>
        <w:widowControl w:val="0"/>
        <w:numPr>
          <w:ilvl w:val="2"/>
          <w:numId w:val="1"/>
        </w:numPr>
        <w:tabs>
          <w:tab w:val="num" w:pos="360"/>
        </w:tabs>
        <w:autoSpaceDE w:val="0"/>
        <w:autoSpaceDN w:val="0"/>
        <w:spacing w:before="73" w:after="0"/>
        <w:ind w:left="0" w:firstLine="0"/>
        <w:jc w:val="both"/>
        <w:rPr>
          <w:rFonts w:asciiTheme="majorHAnsi" w:hAnsiTheme="majorHAnsi" w:cstheme="majorHAnsi"/>
          <w:b w:val="0"/>
          <w:bCs w:val="0"/>
          <w:spacing w:val="-4"/>
          <w:sz w:val="22"/>
          <w:szCs w:val="22"/>
        </w:rPr>
      </w:pPr>
      <w:r w:rsidRPr="00246BB8">
        <w:rPr>
          <w:rFonts w:asciiTheme="majorHAnsi" w:hAnsiTheme="majorHAnsi" w:cstheme="majorHAnsi"/>
          <w:b w:val="0"/>
          <w:bCs w:val="0"/>
          <w:spacing w:val="-4"/>
          <w:sz w:val="22"/>
          <w:szCs w:val="22"/>
        </w:rPr>
        <w:t>Zmienne dla pełnej ilości z kontraktu [……MWh] [zł/MWH]</w:t>
      </w:r>
    </w:p>
    <w:p w14:paraId="70E34135" w14:textId="77777777" w:rsidR="00801ACD" w:rsidRPr="00246BB8" w:rsidRDefault="00801ACD" w:rsidP="00801ACD">
      <w:pPr>
        <w:pStyle w:val="Nagwek1"/>
        <w:keepNext w:val="0"/>
        <w:widowControl w:val="0"/>
        <w:numPr>
          <w:ilvl w:val="0"/>
          <w:numId w:val="1"/>
        </w:numPr>
        <w:tabs>
          <w:tab w:val="num" w:pos="360"/>
          <w:tab w:val="num" w:pos="567"/>
        </w:tabs>
        <w:autoSpaceDE w:val="0"/>
        <w:autoSpaceDN w:val="0"/>
        <w:spacing w:before="73" w:after="0"/>
        <w:ind w:left="567" w:hanging="567"/>
        <w:jc w:val="both"/>
        <w:rPr>
          <w:rFonts w:asciiTheme="majorHAnsi" w:hAnsiTheme="majorHAnsi" w:cstheme="majorHAnsi"/>
          <w:b w:val="0"/>
          <w:bCs w:val="0"/>
          <w:spacing w:val="-4"/>
          <w:sz w:val="22"/>
          <w:szCs w:val="22"/>
        </w:rPr>
      </w:pPr>
      <w:r w:rsidRPr="00246BB8">
        <w:rPr>
          <w:rFonts w:asciiTheme="majorHAnsi" w:hAnsiTheme="majorHAnsi" w:cstheme="majorHAnsi"/>
          <w:b w:val="0"/>
          <w:bCs w:val="0"/>
          <w:sz w:val="22"/>
          <w:szCs w:val="22"/>
        </w:rPr>
        <w:t>Ceny</w:t>
      </w:r>
      <w:r w:rsidRPr="00246BB8">
        <w:rPr>
          <w:rFonts w:asciiTheme="majorHAnsi" w:hAnsiTheme="majorHAnsi" w:cstheme="majorHAnsi"/>
          <w:b w:val="0"/>
          <w:bCs w:val="0"/>
          <w:spacing w:val="-22"/>
          <w:sz w:val="22"/>
          <w:szCs w:val="22"/>
        </w:rPr>
        <w:t xml:space="preserve"> </w:t>
      </w:r>
      <w:r w:rsidRPr="00246BB8">
        <w:rPr>
          <w:rFonts w:asciiTheme="majorHAnsi" w:hAnsiTheme="majorHAnsi" w:cstheme="majorHAnsi"/>
          <w:b w:val="0"/>
          <w:bCs w:val="0"/>
          <w:sz w:val="22"/>
          <w:szCs w:val="22"/>
        </w:rPr>
        <w:t>Paliwa</w:t>
      </w:r>
      <w:r w:rsidRPr="00246BB8">
        <w:rPr>
          <w:rFonts w:asciiTheme="majorHAnsi" w:hAnsiTheme="majorHAnsi" w:cstheme="majorHAnsi"/>
          <w:b w:val="0"/>
          <w:bCs w:val="0"/>
          <w:spacing w:val="-22"/>
          <w:sz w:val="22"/>
          <w:szCs w:val="22"/>
        </w:rPr>
        <w:t xml:space="preserve"> </w:t>
      </w:r>
      <w:r w:rsidRPr="00246BB8">
        <w:rPr>
          <w:rFonts w:asciiTheme="majorHAnsi" w:hAnsiTheme="majorHAnsi" w:cstheme="majorHAnsi"/>
          <w:b w:val="0"/>
          <w:bCs w:val="0"/>
          <w:sz w:val="22"/>
          <w:szCs w:val="22"/>
        </w:rPr>
        <w:t>gazowego</w:t>
      </w:r>
      <w:r w:rsidRPr="00246BB8">
        <w:rPr>
          <w:rFonts w:asciiTheme="majorHAnsi" w:hAnsiTheme="majorHAnsi" w:cstheme="majorHAnsi"/>
          <w:b w:val="0"/>
          <w:bCs w:val="0"/>
          <w:spacing w:val="-22"/>
          <w:sz w:val="22"/>
          <w:szCs w:val="22"/>
        </w:rPr>
        <w:t xml:space="preserve"> </w:t>
      </w:r>
      <w:r w:rsidRPr="00246BB8">
        <w:rPr>
          <w:rFonts w:asciiTheme="majorHAnsi" w:hAnsiTheme="majorHAnsi" w:cstheme="majorHAnsi"/>
          <w:b w:val="0"/>
          <w:bCs w:val="0"/>
          <w:sz w:val="22"/>
          <w:szCs w:val="22"/>
        </w:rPr>
        <w:t>należ wskazać dla ceny stałej – cennik/taryfa Wykonawcy i obliczyć</w:t>
      </w:r>
      <w:r w:rsidRPr="00246BB8">
        <w:rPr>
          <w:rFonts w:asciiTheme="majorHAnsi" w:hAnsiTheme="majorHAnsi" w:cstheme="majorHAnsi"/>
          <w:b w:val="0"/>
          <w:bCs w:val="0"/>
          <w:spacing w:val="-22"/>
          <w:sz w:val="22"/>
          <w:szCs w:val="22"/>
        </w:rPr>
        <w:t xml:space="preserve"> </w:t>
      </w:r>
      <w:r w:rsidRPr="00246BB8">
        <w:rPr>
          <w:rFonts w:asciiTheme="majorHAnsi" w:hAnsiTheme="majorHAnsi" w:cstheme="majorHAnsi"/>
          <w:b w:val="0"/>
          <w:bCs w:val="0"/>
          <w:sz w:val="22"/>
          <w:szCs w:val="22"/>
        </w:rPr>
        <w:t>na</w:t>
      </w:r>
      <w:r w:rsidRPr="00246BB8">
        <w:rPr>
          <w:rFonts w:asciiTheme="majorHAnsi" w:hAnsiTheme="majorHAnsi" w:cstheme="majorHAnsi"/>
          <w:b w:val="0"/>
          <w:bCs w:val="0"/>
          <w:spacing w:val="-22"/>
          <w:sz w:val="22"/>
          <w:szCs w:val="22"/>
        </w:rPr>
        <w:t xml:space="preserve"> </w:t>
      </w:r>
      <w:r w:rsidRPr="00246BB8">
        <w:rPr>
          <w:rFonts w:asciiTheme="majorHAnsi" w:hAnsiTheme="majorHAnsi" w:cstheme="majorHAnsi"/>
          <w:b w:val="0"/>
          <w:bCs w:val="0"/>
          <w:sz w:val="22"/>
          <w:szCs w:val="22"/>
        </w:rPr>
        <w:t>podstawie</w:t>
      </w:r>
      <w:r w:rsidRPr="00246BB8">
        <w:rPr>
          <w:rFonts w:asciiTheme="majorHAnsi" w:hAnsiTheme="majorHAnsi" w:cstheme="majorHAnsi"/>
          <w:b w:val="0"/>
          <w:bCs w:val="0"/>
          <w:spacing w:val="-22"/>
          <w:sz w:val="22"/>
          <w:szCs w:val="22"/>
        </w:rPr>
        <w:t xml:space="preserve"> </w:t>
      </w:r>
      <w:r w:rsidRPr="00246BB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następujących wzorów, czy </w:t>
      </w:r>
      <w:r w:rsidRPr="00246BB8">
        <w:rPr>
          <w:rFonts w:asciiTheme="majorHAnsi" w:hAnsiTheme="majorHAnsi" w:cstheme="majorHAnsi"/>
          <w:b w:val="0"/>
          <w:bCs w:val="0"/>
          <w:spacing w:val="-2"/>
          <w:sz w:val="22"/>
          <w:szCs w:val="22"/>
        </w:rPr>
        <w:t>algorytmów z uwzględnieniem poszczególnych indeksów:</w:t>
      </w:r>
    </w:p>
    <w:p w14:paraId="59497847" w14:textId="77777777" w:rsidR="00801ACD" w:rsidRPr="00246BB8" w:rsidRDefault="00801ACD" w:rsidP="00801ACD">
      <w:pPr>
        <w:pStyle w:val="Nagwek1"/>
        <w:keepNext w:val="0"/>
        <w:widowControl w:val="0"/>
        <w:numPr>
          <w:ilvl w:val="1"/>
          <w:numId w:val="1"/>
        </w:numPr>
        <w:tabs>
          <w:tab w:val="num" w:pos="360"/>
        </w:tabs>
        <w:autoSpaceDE w:val="0"/>
        <w:autoSpaceDN w:val="0"/>
        <w:spacing w:before="73" w:after="0"/>
        <w:ind w:left="2835" w:hanging="1695"/>
        <w:jc w:val="both"/>
        <w:rPr>
          <w:rFonts w:asciiTheme="majorHAnsi" w:hAnsiTheme="majorHAnsi" w:cstheme="majorHAnsi"/>
          <w:b w:val="0"/>
          <w:bCs w:val="0"/>
          <w:spacing w:val="-4"/>
          <w:sz w:val="22"/>
          <w:szCs w:val="22"/>
        </w:rPr>
      </w:pPr>
      <w:r w:rsidRPr="00246BB8">
        <w:rPr>
          <w:rFonts w:asciiTheme="majorHAnsi" w:hAnsiTheme="majorHAnsi" w:cstheme="majorHAnsi"/>
          <w:spacing w:val="-6"/>
          <w:sz w:val="22"/>
          <w:szCs w:val="22"/>
        </w:rPr>
        <w:t>CPG</w:t>
      </w:r>
      <w:r w:rsidRPr="00246BB8">
        <w:rPr>
          <w:rFonts w:asciiTheme="majorHAnsi" w:hAnsiTheme="majorHAnsi" w:cstheme="majorHAnsi"/>
          <w:sz w:val="22"/>
          <w:szCs w:val="22"/>
        </w:rPr>
        <w:tab/>
        <w:t>=</w:t>
      </w:r>
      <w:r w:rsidRPr="00246BB8">
        <w:rPr>
          <w:rFonts w:asciiTheme="majorHAnsi" w:hAnsiTheme="majorHAnsi" w:cstheme="majorHAnsi"/>
          <w:spacing w:val="80"/>
          <w:sz w:val="22"/>
          <w:szCs w:val="22"/>
        </w:rPr>
        <w:t xml:space="preserve"> </w:t>
      </w:r>
      <w:r w:rsidRPr="00246BB8">
        <w:rPr>
          <w:rFonts w:asciiTheme="majorHAnsi" w:hAnsiTheme="majorHAnsi" w:cstheme="majorHAnsi"/>
          <w:sz w:val="22"/>
          <w:szCs w:val="22"/>
        </w:rPr>
        <w:t>RDN</w:t>
      </w:r>
      <w:r w:rsidRPr="00246BB8">
        <w:rPr>
          <w:rFonts w:asciiTheme="majorHAnsi" w:hAnsiTheme="majorHAnsi" w:cstheme="majorHAnsi"/>
          <w:spacing w:val="21"/>
          <w:position w:val="-5"/>
          <w:sz w:val="22"/>
          <w:szCs w:val="22"/>
        </w:rPr>
        <w:t xml:space="preserve"> </w:t>
      </w:r>
      <w:r w:rsidRPr="00246BB8">
        <w:rPr>
          <w:rFonts w:asciiTheme="majorHAnsi" w:hAnsiTheme="majorHAnsi" w:cstheme="majorHAnsi"/>
          <w:sz w:val="22"/>
          <w:szCs w:val="22"/>
        </w:rPr>
        <w:t xml:space="preserve">+ N </w:t>
      </w:r>
    </w:p>
    <w:p w14:paraId="72981687" w14:textId="77777777" w:rsidR="00801ACD" w:rsidRPr="00246BB8" w:rsidRDefault="00801ACD" w:rsidP="00801ACD">
      <w:pPr>
        <w:pStyle w:val="Nagwek1"/>
        <w:spacing w:before="73"/>
        <w:ind w:left="1440"/>
        <w:rPr>
          <w:rFonts w:asciiTheme="majorHAnsi" w:hAnsiTheme="majorHAnsi" w:cstheme="majorHAnsi"/>
          <w:b w:val="0"/>
          <w:bCs w:val="0"/>
          <w:spacing w:val="-4"/>
          <w:sz w:val="22"/>
          <w:szCs w:val="22"/>
        </w:rPr>
      </w:pPr>
      <w:r w:rsidRPr="00246BB8">
        <w:rPr>
          <w:rFonts w:asciiTheme="majorHAnsi" w:hAnsiTheme="majorHAnsi" w:cstheme="majorHAnsi"/>
          <w:spacing w:val="-2"/>
          <w:sz w:val="22"/>
          <w:szCs w:val="22"/>
        </w:rPr>
        <w:t>gdzie:</w:t>
      </w:r>
    </w:p>
    <w:p w14:paraId="4FA537F9" w14:textId="77777777" w:rsidR="00801ACD" w:rsidRPr="00246BB8" w:rsidRDefault="00801ACD" w:rsidP="00801ACD">
      <w:pPr>
        <w:tabs>
          <w:tab w:val="left" w:pos="1651"/>
          <w:tab w:val="left" w:pos="1701"/>
        </w:tabs>
        <w:spacing w:before="18" w:line="276" w:lineRule="auto"/>
        <w:ind w:left="2268" w:hanging="850"/>
        <w:rPr>
          <w:rFonts w:asciiTheme="majorHAnsi" w:hAnsiTheme="majorHAnsi" w:cstheme="majorHAnsi"/>
        </w:rPr>
      </w:pPr>
      <w:r w:rsidRPr="00246BB8">
        <w:rPr>
          <w:rFonts w:asciiTheme="majorHAnsi" w:hAnsiTheme="majorHAnsi" w:cstheme="majorHAnsi"/>
          <w:spacing w:val="-5"/>
        </w:rPr>
        <w:t>CPG</w:t>
      </w:r>
      <w:r w:rsidRPr="00246BB8">
        <w:rPr>
          <w:rFonts w:asciiTheme="majorHAnsi" w:hAnsiTheme="majorHAnsi" w:cstheme="majorHAnsi"/>
        </w:rPr>
        <w:tab/>
        <w:t>cena</w:t>
      </w:r>
      <w:r w:rsidRPr="00246BB8">
        <w:rPr>
          <w:rFonts w:asciiTheme="majorHAnsi" w:hAnsiTheme="majorHAnsi" w:cstheme="majorHAnsi"/>
          <w:spacing w:val="-5"/>
        </w:rPr>
        <w:t xml:space="preserve"> </w:t>
      </w:r>
      <w:r w:rsidRPr="00246BB8">
        <w:rPr>
          <w:rFonts w:asciiTheme="majorHAnsi" w:hAnsiTheme="majorHAnsi" w:cstheme="majorHAnsi"/>
        </w:rPr>
        <w:t>Paliwa</w:t>
      </w:r>
      <w:r w:rsidRPr="00246BB8">
        <w:rPr>
          <w:rFonts w:asciiTheme="majorHAnsi" w:hAnsiTheme="majorHAnsi" w:cstheme="majorHAnsi"/>
          <w:spacing w:val="-2"/>
        </w:rPr>
        <w:t xml:space="preserve"> </w:t>
      </w:r>
      <w:r w:rsidRPr="00246BB8">
        <w:rPr>
          <w:rFonts w:asciiTheme="majorHAnsi" w:hAnsiTheme="majorHAnsi" w:cstheme="majorHAnsi"/>
        </w:rPr>
        <w:t>gazowego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</w:rPr>
        <w:t>w</w:t>
      </w:r>
      <w:r w:rsidRPr="00246BB8">
        <w:rPr>
          <w:rFonts w:asciiTheme="majorHAnsi" w:hAnsiTheme="majorHAnsi" w:cstheme="majorHAnsi"/>
          <w:spacing w:val="-3"/>
        </w:rPr>
        <w:t xml:space="preserve"> </w:t>
      </w:r>
      <w:r w:rsidRPr="00246BB8">
        <w:rPr>
          <w:rFonts w:asciiTheme="majorHAnsi" w:hAnsiTheme="majorHAnsi" w:cstheme="majorHAnsi"/>
        </w:rPr>
        <w:t>danym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</w:rPr>
        <w:t>okresie</w:t>
      </w:r>
      <w:r w:rsidRPr="00246BB8">
        <w:rPr>
          <w:rFonts w:asciiTheme="majorHAnsi" w:hAnsiTheme="majorHAnsi" w:cstheme="majorHAnsi"/>
          <w:spacing w:val="-3"/>
        </w:rPr>
        <w:t xml:space="preserve"> </w:t>
      </w:r>
      <w:r w:rsidRPr="00246BB8">
        <w:rPr>
          <w:rFonts w:asciiTheme="majorHAnsi" w:hAnsiTheme="majorHAnsi" w:cstheme="majorHAnsi"/>
        </w:rPr>
        <w:t>rozliczeniowym</w:t>
      </w:r>
      <w:r w:rsidRPr="00246BB8">
        <w:rPr>
          <w:rFonts w:asciiTheme="majorHAnsi" w:hAnsiTheme="majorHAnsi" w:cstheme="majorHAnsi"/>
          <w:spacing w:val="-2"/>
        </w:rPr>
        <w:t xml:space="preserve"> [gr/kWh]</w:t>
      </w:r>
    </w:p>
    <w:p w14:paraId="106119E9" w14:textId="77777777" w:rsidR="00801ACD" w:rsidRPr="00246BB8" w:rsidRDefault="00801ACD" w:rsidP="00801ACD">
      <w:pPr>
        <w:tabs>
          <w:tab w:val="left" w:pos="2268"/>
          <w:tab w:val="left" w:pos="2410"/>
        </w:tabs>
        <w:spacing w:before="13" w:line="276" w:lineRule="auto"/>
        <w:ind w:left="2268" w:hanging="850"/>
        <w:rPr>
          <w:rFonts w:asciiTheme="majorHAnsi" w:hAnsiTheme="majorHAnsi" w:cstheme="majorHAnsi"/>
        </w:rPr>
      </w:pPr>
      <w:r w:rsidRPr="00246BB8">
        <w:rPr>
          <w:rFonts w:asciiTheme="majorHAnsi" w:hAnsiTheme="majorHAnsi" w:cstheme="majorHAnsi"/>
          <w:spacing w:val="-2"/>
        </w:rPr>
        <w:t>RDN</w:t>
      </w:r>
      <w:r w:rsidRPr="00246BB8">
        <w:rPr>
          <w:rFonts w:asciiTheme="majorHAnsi" w:hAnsiTheme="majorHAnsi" w:cstheme="majorHAnsi"/>
          <w:spacing w:val="-10"/>
        </w:rPr>
        <w:t>-</w:t>
      </w:r>
      <w:r w:rsidRPr="00246BB8">
        <w:rPr>
          <w:rFonts w:asciiTheme="majorHAnsi" w:hAnsiTheme="majorHAnsi" w:cstheme="majorHAnsi"/>
        </w:rPr>
        <w:tab/>
        <w:t>oznacza</w:t>
      </w:r>
      <w:r w:rsidRPr="00246BB8">
        <w:rPr>
          <w:rFonts w:asciiTheme="majorHAnsi" w:hAnsiTheme="majorHAnsi" w:cstheme="majorHAnsi"/>
          <w:spacing w:val="-7"/>
        </w:rPr>
        <w:t xml:space="preserve"> </w:t>
      </w:r>
      <w:r w:rsidRPr="00246BB8">
        <w:rPr>
          <w:rFonts w:asciiTheme="majorHAnsi" w:hAnsiTheme="majorHAnsi" w:cstheme="majorHAnsi"/>
        </w:rPr>
        <w:t>średnią</w:t>
      </w:r>
      <w:r w:rsidRPr="00246BB8">
        <w:rPr>
          <w:rFonts w:asciiTheme="majorHAnsi" w:hAnsiTheme="majorHAnsi" w:cstheme="majorHAnsi"/>
          <w:spacing w:val="-5"/>
        </w:rPr>
        <w:t xml:space="preserve"> </w:t>
      </w:r>
      <w:r w:rsidRPr="00246BB8">
        <w:rPr>
          <w:rFonts w:asciiTheme="majorHAnsi" w:hAnsiTheme="majorHAnsi" w:cstheme="majorHAnsi"/>
        </w:rPr>
        <w:t>arytmetyczną</w:t>
      </w:r>
      <w:r w:rsidRPr="00246BB8">
        <w:rPr>
          <w:rFonts w:asciiTheme="majorHAnsi" w:hAnsiTheme="majorHAnsi" w:cstheme="majorHAnsi"/>
          <w:spacing w:val="-6"/>
        </w:rPr>
        <w:t xml:space="preserve"> </w:t>
      </w:r>
      <w:r w:rsidRPr="00246BB8">
        <w:rPr>
          <w:rFonts w:asciiTheme="majorHAnsi" w:hAnsiTheme="majorHAnsi" w:cstheme="majorHAnsi"/>
        </w:rPr>
        <w:t>dobowych</w:t>
      </w:r>
      <w:r w:rsidRPr="00246BB8">
        <w:rPr>
          <w:rFonts w:asciiTheme="majorHAnsi" w:hAnsiTheme="majorHAnsi" w:cstheme="majorHAnsi"/>
          <w:spacing w:val="-6"/>
        </w:rPr>
        <w:t xml:space="preserve"> </w:t>
      </w:r>
      <w:r w:rsidRPr="00246BB8">
        <w:rPr>
          <w:rFonts w:asciiTheme="majorHAnsi" w:hAnsiTheme="majorHAnsi" w:cstheme="majorHAnsi"/>
        </w:rPr>
        <w:t>notowań</w:t>
      </w:r>
      <w:r w:rsidRPr="00246BB8">
        <w:rPr>
          <w:rFonts w:asciiTheme="majorHAnsi" w:hAnsiTheme="majorHAnsi" w:cstheme="majorHAnsi"/>
          <w:spacing w:val="-5"/>
        </w:rPr>
        <w:t xml:space="preserve"> </w:t>
      </w:r>
      <w:r w:rsidRPr="00246BB8">
        <w:rPr>
          <w:rFonts w:asciiTheme="majorHAnsi" w:hAnsiTheme="majorHAnsi" w:cstheme="majorHAnsi"/>
        </w:rPr>
        <w:t>indeksu</w:t>
      </w:r>
      <w:r w:rsidRPr="00246BB8">
        <w:rPr>
          <w:rFonts w:asciiTheme="majorHAnsi" w:hAnsiTheme="majorHAnsi" w:cstheme="majorHAnsi"/>
          <w:spacing w:val="-9"/>
        </w:rPr>
        <w:t xml:space="preserve"> </w:t>
      </w:r>
      <w:r w:rsidRPr="00246BB8">
        <w:rPr>
          <w:rFonts w:asciiTheme="majorHAnsi" w:hAnsiTheme="majorHAnsi" w:cstheme="majorHAnsi"/>
        </w:rPr>
        <w:t>b.</w:t>
      </w:r>
      <w:r w:rsidRPr="00246BB8">
        <w:rPr>
          <w:rFonts w:asciiTheme="majorHAnsi" w:hAnsiTheme="majorHAnsi" w:cstheme="majorHAnsi"/>
        </w:rPr>
        <w:tab/>
        <w:t xml:space="preserve">GAS_BASE_M  - na RTPG Towarowej Giełdy Energii SA </w:t>
      </w:r>
      <w:r w:rsidRPr="00246BB8">
        <w:rPr>
          <w:rFonts w:asciiTheme="majorHAnsi" w:hAnsiTheme="majorHAnsi" w:cstheme="majorHAnsi"/>
          <w:spacing w:val="-2"/>
        </w:rPr>
        <w:t xml:space="preserve">Towarowej </w:t>
      </w:r>
      <w:r w:rsidRPr="00246BB8">
        <w:rPr>
          <w:rFonts w:asciiTheme="majorHAnsi" w:hAnsiTheme="majorHAnsi" w:cstheme="majorHAnsi"/>
        </w:rPr>
        <w:t>w</w:t>
      </w:r>
      <w:r w:rsidRPr="00246BB8">
        <w:rPr>
          <w:rFonts w:asciiTheme="majorHAnsi" w:hAnsiTheme="majorHAnsi" w:cstheme="majorHAnsi"/>
          <w:spacing w:val="12"/>
        </w:rPr>
        <w:t xml:space="preserve"> </w:t>
      </w:r>
      <w:r w:rsidRPr="00246BB8">
        <w:rPr>
          <w:rFonts w:asciiTheme="majorHAnsi" w:hAnsiTheme="majorHAnsi" w:cstheme="majorHAnsi"/>
        </w:rPr>
        <w:t>danym</w:t>
      </w:r>
      <w:r w:rsidRPr="00246BB8">
        <w:rPr>
          <w:rFonts w:asciiTheme="majorHAnsi" w:hAnsiTheme="majorHAnsi" w:cstheme="majorHAnsi"/>
          <w:spacing w:val="12"/>
        </w:rPr>
        <w:t xml:space="preserve"> </w:t>
      </w:r>
      <w:r w:rsidRPr="00246BB8">
        <w:rPr>
          <w:rFonts w:asciiTheme="majorHAnsi" w:hAnsiTheme="majorHAnsi" w:cstheme="majorHAnsi"/>
        </w:rPr>
        <w:t>Miesiącu</w:t>
      </w:r>
      <w:r w:rsidRPr="00246BB8">
        <w:rPr>
          <w:rFonts w:asciiTheme="majorHAnsi" w:hAnsiTheme="majorHAnsi" w:cstheme="majorHAnsi"/>
          <w:spacing w:val="13"/>
        </w:rPr>
        <w:t xml:space="preserve"> </w:t>
      </w:r>
      <w:r w:rsidRPr="00246BB8">
        <w:rPr>
          <w:rFonts w:asciiTheme="majorHAnsi" w:hAnsiTheme="majorHAnsi" w:cstheme="majorHAnsi"/>
        </w:rPr>
        <w:t>gazowym.</w:t>
      </w:r>
      <w:r w:rsidRPr="00246BB8">
        <w:rPr>
          <w:rFonts w:asciiTheme="majorHAnsi" w:hAnsiTheme="majorHAnsi" w:cstheme="majorHAnsi"/>
          <w:spacing w:val="12"/>
        </w:rPr>
        <w:t xml:space="preserve"> </w:t>
      </w:r>
      <w:r w:rsidRPr="00246BB8">
        <w:rPr>
          <w:rFonts w:asciiTheme="majorHAnsi" w:hAnsiTheme="majorHAnsi" w:cstheme="majorHAnsi"/>
        </w:rPr>
        <w:t>Średnia</w:t>
      </w:r>
      <w:r w:rsidRPr="00246BB8">
        <w:rPr>
          <w:rFonts w:asciiTheme="majorHAnsi" w:hAnsiTheme="majorHAnsi" w:cstheme="majorHAnsi"/>
          <w:spacing w:val="13"/>
        </w:rPr>
        <w:t xml:space="preserve"> </w:t>
      </w:r>
      <w:r w:rsidRPr="00246BB8">
        <w:rPr>
          <w:rFonts w:asciiTheme="majorHAnsi" w:hAnsiTheme="majorHAnsi" w:cstheme="majorHAnsi"/>
        </w:rPr>
        <w:t>obliczana</w:t>
      </w:r>
      <w:r w:rsidRPr="00246BB8">
        <w:rPr>
          <w:rFonts w:asciiTheme="majorHAnsi" w:hAnsiTheme="majorHAnsi" w:cstheme="majorHAnsi"/>
          <w:spacing w:val="13"/>
        </w:rPr>
        <w:t xml:space="preserve"> </w:t>
      </w:r>
      <w:r w:rsidRPr="00246BB8">
        <w:rPr>
          <w:rFonts w:asciiTheme="majorHAnsi" w:hAnsiTheme="majorHAnsi" w:cstheme="majorHAnsi"/>
        </w:rPr>
        <w:t>jest</w:t>
      </w:r>
      <w:r w:rsidRPr="00246BB8">
        <w:rPr>
          <w:rFonts w:asciiTheme="majorHAnsi" w:hAnsiTheme="majorHAnsi" w:cstheme="majorHAnsi"/>
          <w:spacing w:val="12"/>
        </w:rPr>
        <w:t xml:space="preserve"> </w:t>
      </w:r>
      <w:r w:rsidRPr="00246BB8">
        <w:rPr>
          <w:rFonts w:asciiTheme="majorHAnsi" w:hAnsiTheme="majorHAnsi" w:cstheme="majorHAnsi"/>
        </w:rPr>
        <w:t>z</w:t>
      </w:r>
      <w:r w:rsidRPr="00246BB8">
        <w:rPr>
          <w:rFonts w:asciiTheme="majorHAnsi" w:hAnsiTheme="majorHAnsi" w:cstheme="majorHAnsi"/>
          <w:spacing w:val="13"/>
        </w:rPr>
        <w:t xml:space="preserve"> </w:t>
      </w:r>
      <w:r w:rsidRPr="00246BB8">
        <w:rPr>
          <w:rFonts w:asciiTheme="majorHAnsi" w:hAnsiTheme="majorHAnsi" w:cstheme="majorHAnsi"/>
        </w:rPr>
        <w:t>zaokrągleniem</w:t>
      </w:r>
      <w:r w:rsidRPr="00246BB8">
        <w:rPr>
          <w:rFonts w:asciiTheme="majorHAnsi" w:hAnsiTheme="majorHAnsi" w:cstheme="majorHAnsi"/>
          <w:spacing w:val="13"/>
        </w:rPr>
        <w:t xml:space="preserve"> </w:t>
      </w:r>
      <w:r w:rsidRPr="00246BB8">
        <w:rPr>
          <w:rFonts w:asciiTheme="majorHAnsi" w:hAnsiTheme="majorHAnsi" w:cstheme="majorHAnsi"/>
        </w:rPr>
        <w:t>do</w:t>
      </w:r>
      <w:r w:rsidRPr="00246BB8">
        <w:rPr>
          <w:rFonts w:asciiTheme="majorHAnsi" w:hAnsiTheme="majorHAnsi" w:cstheme="majorHAnsi"/>
          <w:spacing w:val="12"/>
        </w:rPr>
        <w:t xml:space="preserve"> </w:t>
      </w:r>
      <w:r w:rsidRPr="00246BB8">
        <w:rPr>
          <w:rFonts w:asciiTheme="majorHAnsi" w:hAnsiTheme="majorHAnsi" w:cstheme="majorHAnsi"/>
        </w:rPr>
        <w:t>3</w:t>
      </w:r>
      <w:r w:rsidRPr="00246BB8">
        <w:rPr>
          <w:rFonts w:asciiTheme="majorHAnsi" w:hAnsiTheme="majorHAnsi" w:cstheme="majorHAnsi"/>
          <w:spacing w:val="13"/>
        </w:rPr>
        <w:t xml:space="preserve"> </w:t>
      </w:r>
      <w:r w:rsidRPr="00246BB8">
        <w:rPr>
          <w:rFonts w:asciiTheme="majorHAnsi" w:hAnsiTheme="majorHAnsi" w:cstheme="majorHAnsi"/>
        </w:rPr>
        <w:t>(trzech)</w:t>
      </w:r>
      <w:r w:rsidRPr="00246BB8">
        <w:rPr>
          <w:rFonts w:asciiTheme="majorHAnsi" w:hAnsiTheme="majorHAnsi" w:cstheme="majorHAnsi"/>
          <w:spacing w:val="12"/>
        </w:rPr>
        <w:t xml:space="preserve"> </w:t>
      </w:r>
      <w:r w:rsidRPr="00246BB8">
        <w:rPr>
          <w:rFonts w:asciiTheme="majorHAnsi" w:hAnsiTheme="majorHAnsi" w:cstheme="majorHAnsi"/>
        </w:rPr>
        <w:t>miejsc</w:t>
      </w:r>
      <w:r w:rsidRPr="00246BB8">
        <w:rPr>
          <w:rFonts w:asciiTheme="majorHAnsi" w:hAnsiTheme="majorHAnsi" w:cstheme="majorHAnsi"/>
          <w:spacing w:val="13"/>
        </w:rPr>
        <w:t xml:space="preserve"> </w:t>
      </w:r>
      <w:r w:rsidRPr="00246BB8">
        <w:rPr>
          <w:rFonts w:asciiTheme="majorHAnsi" w:hAnsiTheme="majorHAnsi" w:cstheme="majorHAnsi"/>
          <w:spacing w:val="-5"/>
        </w:rPr>
        <w:t>po</w:t>
      </w:r>
    </w:p>
    <w:p w14:paraId="782BB9F0" w14:textId="77777777" w:rsidR="00801ACD" w:rsidRPr="00246BB8" w:rsidRDefault="00801ACD" w:rsidP="00801ACD">
      <w:pPr>
        <w:spacing w:before="13" w:line="276" w:lineRule="auto"/>
        <w:ind w:left="2268" w:right="211"/>
        <w:jc w:val="both"/>
        <w:rPr>
          <w:rFonts w:asciiTheme="majorHAnsi" w:hAnsiTheme="majorHAnsi" w:cstheme="majorHAnsi"/>
        </w:rPr>
      </w:pPr>
      <w:r w:rsidRPr="00246BB8">
        <w:rPr>
          <w:rFonts w:asciiTheme="majorHAnsi" w:hAnsiTheme="majorHAnsi" w:cstheme="majorHAnsi"/>
        </w:rPr>
        <w:t xml:space="preserve">przecinku. Wartości wejściowe do obliczenia średniej uwzględniane są w formie w jakiej zostały opublikowane z </w:t>
      </w:r>
      <w:r w:rsidRPr="00246BB8">
        <w:rPr>
          <w:rFonts w:asciiTheme="majorHAnsi" w:hAnsiTheme="majorHAnsi" w:cstheme="majorHAnsi"/>
          <w:spacing w:val="-2"/>
        </w:rPr>
        <w:t>przeliczeniem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  <w:spacing w:val="-2"/>
        </w:rPr>
        <w:t>na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  <w:spacing w:val="-2"/>
        </w:rPr>
        <w:t>jednostki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  <w:spacing w:val="-2"/>
        </w:rPr>
        <w:t>gr/kWh.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  <w:spacing w:val="-2"/>
        </w:rPr>
        <w:t>Działanie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  <w:spacing w:val="-2"/>
        </w:rPr>
        <w:t>zaokrągleń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  <w:spacing w:val="-2"/>
        </w:rPr>
        <w:t>wykonuje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  <w:spacing w:val="-2"/>
        </w:rPr>
        <w:t>się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  <w:spacing w:val="-2"/>
        </w:rPr>
        <w:t>poprzez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  <w:spacing w:val="-2"/>
        </w:rPr>
        <w:t>zwiększenie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  <w:spacing w:val="-2"/>
        </w:rPr>
        <w:t>o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  <w:spacing w:val="-2"/>
        </w:rPr>
        <w:t>1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  <w:spacing w:val="-2"/>
        </w:rPr>
        <w:t>(jeden)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  <w:spacing w:val="-2"/>
        </w:rPr>
        <w:t>ostatniej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  <w:spacing w:val="-2"/>
        </w:rPr>
        <w:t xml:space="preserve">cyfry, </w:t>
      </w:r>
      <w:r w:rsidRPr="00246BB8">
        <w:rPr>
          <w:rFonts w:asciiTheme="majorHAnsi" w:hAnsiTheme="majorHAnsi" w:cstheme="majorHAnsi"/>
        </w:rPr>
        <w:t>jeżeli kolejna cyfra liczby początkowej jest równa lub większa od 5 (pięciu). Jeżeli kolejna cyfra liczby początkowej jest mniejsza od 5 (pięciu), ostatnia cyfra nie zmienia się.</w:t>
      </w:r>
    </w:p>
    <w:p w14:paraId="4089122A" w14:textId="77777777" w:rsidR="00801ACD" w:rsidRPr="00246BB8" w:rsidRDefault="00801ACD" w:rsidP="00801ACD">
      <w:pPr>
        <w:tabs>
          <w:tab w:val="left" w:pos="1418"/>
        </w:tabs>
        <w:spacing w:before="62" w:line="276" w:lineRule="auto"/>
        <w:ind w:left="2268" w:hanging="850"/>
        <w:jc w:val="both"/>
        <w:rPr>
          <w:rFonts w:asciiTheme="majorHAnsi" w:hAnsiTheme="majorHAnsi" w:cstheme="majorHAnsi"/>
          <w:spacing w:val="-2"/>
        </w:rPr>
      </w:pPr>
      <w:r w:rsidRPr="00246BB8">
        <w:rPr>
          <w:rFonts w:asciiTheme="majorHAnsi" w:hAnsiTheme="majorHAnsi" w:cstheme="majorHAnsi"/>
          <w:spacing w:val="-10"/>
        </w:rPr>
        <w:t>N</w:t>
      </w:r>
      <w:r w:rsidRPr="00246BB8">
        <w:rPr>
          <w:rFonts w:asciiTheme="majorHAnsi" w:hAnsiTheme="majorHAnsi" w:cstheme="majorHAnsi"/>
        </w:rPr>
        <w:tab/>
        <w:t>oznacza</w:t>
      </w:r>
      <w:r w:rsidRPr="00246BB8">
        <w:rPr>
          <w:rFonts w:asciiTheme="majorHAnsi" w:hAnsiTheme="majorHAnsi" w:cstheme="majorHAnsi"/>
          <w:spacing w:val="-3"/>
        </w:rPr>
        <w:t xml:space="preserve"> </w:t>
      </w:r>
      <w:r w:rsidRPr="00246BB8">
        <w:rPr>
          <w:rFonts w:asciiTheme="majorHAnsi" w:hAnsiTheme="majorHAnsi" w:cstheme="majorHAnsi"/>
        </w:rPr>
        <w:t>narzut</w:t>
      </w:r>
      <w:r w:rsidRPr="00246BB8">
        <w:rPr>
          <w:rFonts w:asciiTheme="majorHAnsi" w:hAnsiTheme="majorHAnsi" w:cstheme="majorHAnsi"/>
          <w:spacing w:val="-2"/>
        </w:rPr>
        <w:t xml:space="preserve"> </w:t>
      </w:r>
      <w:r w:rsidRPr="00246BB8">
        <w:rPr>
          <w:rFonts w:asciiTheme="majorHAnsi" w:hAnsiTheme="majorHAnsi" w:cstheme="majorHAnsi"/>
        </w:rPr>
        <w:t>Wykonawcy</w:t>
      </w:r>
      <w:r w:rsidRPr="00246BB8">
        <w:rPr>
          <w:rFonts w:asciiTheme="majorHAnsi" w:hAnsiTheme="majorHAnsi" w:cstheme="majorHAnsi"/>
          <w:spacing w:val="-1"/>
        </w:rPr>
        <w:t xml:space="preserve"> </w:t>
      </w:r>
      <w:r w:rsidRPr="00246BB8">
        <w:rPr>
          <w:rFonts w:asciiTheme="majorHAnsi" w:hAnsiTheme="majorHAnsi" w:cstheme="majorHAnsi"/>
        </w:rPr>
        <w:t>w</w:t>
      </w:r>
      <w:r w:rsidRPr="00246BB8">
        <w:rPr>
          <w:rFonts w:asciiTheme="majorHAnsi" w:hAnsiTheme="majorHAnsi" w:cstheme="majorHAnsi"/>
          <w:spacing w:val="-2"/>
        </w:rPr>
        <w:t xml:space="preserve"> wysokości</w:t>
      </w:r>
      <w:r w:rsidRPr="00246BB8">
        <w:rPr>
          <w:rFonts w:asciiTheme="majorHAnsi" w:hAnsiTheme="majorHAnsi" w:cstheme="majorHAnsi"/>
        </w:rPr>
        <w:tab/>
        <w:t>………….</w:t>
      </w:r>
      <w:r w:rsidRPr="00246BB8">
        <w:rPr>
          <w:rFonts w:asciiTheme="majorHAnsi" w:hAnsiTheme="majorHAnsi" w:cstheme="majorHAnsi"/>
          <w:spacing w:val="-2"/>
        </w:rPr>
        <w:t>[gr/kWh]</w:t>
      </w:r>
    </w:p>
    <w:p w14:paraId="658AB756" w14:textId="77FA8B98" w:rsidR="00801ACD" w:rsidRPr="00246BB8" w:rsidRDefault="00801ACD" w:rsidP="00801ACD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before="62" w:after="0" w:line="276" w:lineRule="auto"/>
        <w:contextualSpacing w:val="0"/>
        <w:jc w:val="both"/>
        <w:rPr>
          <w:rFonts w:asciiTheme="majorHAnsi" w:hAnsiTheme="majorHAnsi" w:cstheme="majorHAnsi"/>
          <w:b/>
          <w:bCs/>
          <w:spacing w:val="-2"/>
        </w:rPr>
      </w:pPr>
      <w:r w:rsidRPr="00246BB8">
        <w:rPr>
          <w:rFonts w:asciiTheme="majorHAnsi" w:hAnsiTheme="majorHAnsi" w:cstheme="majorHAnsi"/>
          <w:b/>
          <w:bCs/>
          <w:spacing w:val="-4"/>
        </w:rPr>
        <w:t>Indeksy: miesięczny (</w:t>
      </w:r>
      <w:r w:rsidRPr="00246BB8">
        <w:rPr>
          <w:rFonts w:asciiTheme="majorHAnsi" w:hAnsiTheme="majorHAnsi" w:cstheme="majorHAnsi"/>
          <w:b/>
          <w:bCs/>
        </w:rPr>
        <w:t>GAS_BASE_M ), kwartalny (GAS_BASE_Q), roczny (GAS_BASE_Y) – wybierany w systemie informatycznym Wykonawcy do platformy zakupowej.</w:t>
      </w:r>
    </w:p>
    <w:p w14:paraId="15A85588" w14:textId="77777777" w:rsidR="00801ACD" w:rsidRPr="00246BB8" w:rsidRDefault="00801ACD" w:rsidP="00801ACD">
      <w:pPr>
        <w:pStyle w:val="Nagwek1"/>
        <w:spacing w:before="73"/>
        <w:ind w:left="1134" w:firstLine="1134"/>
        <w:rPr>
          <w:rFonts w:asciiTheme="majorHAnsi" w:hAnsiTheme="majorHAnsi" w:cstheme="majorHAnsi"/>
          <w:b w:val="0"/>
          <w:bCs w:val="0"/>
          <w:spacing w:val="-4"/>
          <w:sz w:val="22"/>
          <w:szCs w:val="22"/>
        </w:rPr>
      </w:pPr>
      <w:r w:rsidRPr="00246BB8">
        <w:rPr>
          <w:rFonts w:asciiTheme="majorHAnsi" w:hAnsiTheme="majorHAnsi" w:cstheme="majorHAnsi"/>
          <w:spacing w:val="-6"/>
          <w:sz w:val="22"/>
          <w:szCs w:val="22"/>
        </w:rPr>
        <w:lastRenderedPageBreak/>
        <w:t>CPG</w:t>
      </w:r>
      <w:r w:rsidRPr="00246BB8">
        <w:rPr>
          <w:rFonts w:asciiTheme="majorHAnsi" w:hAnsiTheme="majorHAnsi" w:cstheme="majorHAnsi"/>
          <w:spacing w:val="-6"/>
          <w:sz w:val="22"/>
          <w:szCs w:val="22"/>
          <w:vertAlign w:val="subscript"/>
        </w:rPr>
        <w:t>INDEKSY</w:t>
      </w:r>
      <w:r w:rsidRPr="00246BB8">
        <w:rPr>
          <w:rFonts w:asciiTheme="majorHAnsi" w:hAnsiTheme="majorHAnsi" w:cstheme="majorHAnsi"/>
          <w:sz w:val="22"/>
          <w:szCs w:val="22"/>
        </w:rPr>
        <w:tab/>
        <w:t>=</w:t>
      </w:r>
      <w:r w:rsidRPr="00246BB8">
        <w:rPr>
          <w:rFonts w:asciiTheme="majorHAnsi" w:hAnsiTheme="majorHAnsi" w:cstheme="majorHAnsi"/>
          <w:spacing w:val="80"/>
          <w:sz w:val="22"/>
          <w:szCs w:val="22"/>
        </w:rPr>
        <w:t xml:space="preserve"> </w:t>
      </w:r>
      <w:r w:rsidRPr="00246BB8">
        <w:rPr>
          <w:rFonts w:asciiTheme="majorHAnsi" w:hAnsiTheme="majorHAnsi" w:cstheme="majorHAnsi"/>
          <w:spacing w:val="-2"/>
          <w:sz w:val="22"/>
          <w:szCs w:val="22"/>
        </w:rPr>
        <w:t>CP</w:t>
      </w:r>
      <w:r w:rsidRPr="00246BB8">
        <w:rPr>
          <w:rFonts w:asciiTheme="majorHAnsi" w:hAnsiTheme="majorHAnsi" w:cstheme="majorHAnsi"/>
          <w:spacing w:val="-2"/>
          <w:sz w:val="22"/>
          <w:szCs w:val="22"/>
          <w:vertAlign w:val="subscript"/>
        </w:rPr>
        <w:t>JEDNOSTKOWA</w:t>
      </w:r>
      <w:r w:rsidRPr="00246BB8">
        <w:rPr>
          <w:rFonts w:asciiTheme="majorHAnsi" w:hAnsiTheme="majorHAnsi" w:cstheme="majorHAnsi"/>
          <w:sz w:val="22"/>
          <w:szCs w:val="22"/>
        </w:rPr>
        <w:t xml:space="preserve"> </w:t>
      </w:r>
      <w:r w:rsidRPr="00246BB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x </w:t>
      </w:r>
      <w:r w:rsidRPr="00246BB8">
        <w:rPr>
          <w:rFonts w:asciiTheme="majorHAnsi" w:hAnsiTheme="majorHAnsi" w:cstheme="majorHAnsi"/>
          <w:sz w:val="22"/>
          <w:szCs w:val="22"/>
        </w:rPr>
        <w:t xml:space="preserve">W </w:t>
      </w:r>
    </w:p>
    <w:p w14:paraId="75E5FC79" w14:textId="77777777" w:rsidR="00801ACD" w:rsidRPr="00246BB8" w:rsidRDefault="00801ACD" w:rsidP="00801ACD">
      <w:pPr>
        <w:pStyle w:val="Nagwek1"/>
        <w:spacing w:before="73"/>
        <w:ind w:left="1134" w:firstLine="1134"/>
        <w:rPr>
          <w:rFonts w:asciiTheme="majorHAnsi" w:hAnsiTheme="majorHAnsi" w:cstheme="majorHAnsi"/>
          <w:b w:val="0"/>
          <w:bCs w:val="0"/>
          <w:spacing w:val="-4"/>
          <w:sz w:val="22"/>
          <w:szCs w:val="22"/>
        </w:rPr>
      </w:pPr>
      <w:r w:rsidRPr="00246BB8">
        <w:rPr>
          <w:rFonts w:asciiTheme="majorHAnsi" w:hAnsiTheme="majorHAnsi" w:cstheme="majorHAnsi"/>
          <w:b w:val="0"/>
          <w:bCs w:val="0"/>
          <w:spacing w:val="-2"/>
          <w:sz w:val="22"/>
          <w:szCs w:val="22"/>
        </w:rPr>
        <w:t>gdzie:</w:t>
      </w:r>
    </w:p>
    <w:p w14:paraId="1313A565" w14:textId="77777777" w:rsidR="00801ACD" w:rsidRPr="00246BB8" w:rsidRDefault="00801ACD" w:rsidP="00801ACD">
      <w:pPr>
        <w:tabs>
          <w:tab w:val="left" w:pos="1651"/>
          <w:tab w:val="left" w:pos="1701"/>
        </w:tabs>
        <w:spacing w:before="18" w:line="276" w:lineRule="auto"/>
        <w:ind w:left="1134" w:firstLine="1134"/>
        <w:rPr>
          <w:rFonts w:asciiTheme="majorHAnsi" w:hAnsiTheme="majorHAnsi" w:cstheme="majorHAnsi"/>
          <w:spacing w:val="-2"/>
        </w:rPr>
      </w:pPr>
      <w:r w:rsidRPr="00246BB8">
        <w:rPr>
          <w:rFonts w:asciiTheme="majorHAnsi" w:hAnsiTheme="majorHAnsi" w:cstheme="majorHAnsi"/>
          <w:b/>
          <w:bCs/>
          <w:spacing w:val="-6"/>
        </w:rPr>
        <w:t>CPG</w:t>
      </w:r>
      <w:r w:rsidRPr="00246BB8">
        <w:rPr>
          <w:rFonts w:asciiTheme="majorHAnsi" w:hAnsiTheme="majorHAnsi" w:cstheme="majorHAnsi"/>
          <w:b/>
          <w:bCs/>
          <w:spacing w:val="-6"/>
          <w:vertAlign w:val="subscript"/>
        </w:rPr>
        <w:t>INDEKS</w:t>
      </w:r>
      <w:r w:rsidRPr="00246BB8">
        <w:rPr>
          <w:rFonts w:asciiTheme="majorHAnsi" w:hAnsiTheme="majorHAnsi" w:cstheme="majorHAnsi"/>
        </w:rPr>
        <w:tab/>
        <w:t>cena</w:t>
      </w:r>
      <w:r w:rsidRPr="00246BB8">
        <w:rPr>
          <w:rFonts w:asciiTheme="majorHAnsi" w:hAnsiTheme="majorHAnsi" w:cstheme="majorHAnsi"/>
          <w:spacing w:val="-5"/>
        </w:rPr>
        <w:t xml:space="preserve"> </w:t>
      </w:r>
      <w:r w:rsidRPr="00246BB8">
        <w:rPr>
          <w:rFonts w:asciiTheme="majorHAnsi" w:hAnsiTheme="majorHAnsi" w:cstheme="majorHAnsi"/>
        </w:rPr>
        <w:t>Paliwa</w:t>
      </w:r>
      <w:r w:rsidRPr="00246BB8">
        <w:rPr>
          <w:rFonts w:asciiTheme="majorHAnsi" w:hAnsiTheme="majorHAnsi" w:cstheme="majorHAnsi"/>
          <w:spacing w:val="-2"/>
        </w:rPr>
        <w:t xml:space="preserve"> </w:t>
      </w:r>
      <w:r w:rsidRPr="00246BB8">
        <w:rPr>
          <w:rFonts w:asciiTheme="majorHAnsi" w:hAnsiTheme="majorHAnsi" w:cstheme="majorHAnsi"/>
        </w:rPr>
        <w:t>gazowego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</w:rPr>
        <w:t>w</w:t>
      </w:r>
      <w:r w:rsidRPr="00246BB8">
        <w:rPr>
          <w:rFonts w:asciiTheme="majorHAnsi" w:hAnsiTheme="majorHAnsi" w:cstheme="majorHAnsi"/>
          <w:spacing w:val="-3"/>
        </w:rPr>
        <w:t xml:space="preserve"> </w:t>
      </w:r>
      <w:r w:rsidRPr="00246BB8">
        <w:rPr>
          <w:rFonts w:asciiTheme="majorHAnsi" w:hAnsiTheme="majorHAnsi" w:cstheme="majorHAnsi"/>
        </w:rPr>
        <w:t>danym</w:t>
      </w:r>
      <w:r w:rsidRPr="00246BB8">
        <w:rPr>
          <w:rFonts w:asciiTheme="majorHAnsi" w:hAnsiTheme="majorHAnsi" w:cstheme="majorHAnsi"/>
          <w:spacing w:val="-4"/>
        </w:rPr>
        <w:t xml:space="preserve"> </w:t>
      </w:r>
      <w:r w:rsidRPr="00246BB8">
        <w:rPr>
          <w:rFonts w:asciiTheme="majorHAnsi" w:hAnsiTheme="majorHAnsi" w:cstheme="majorHAnsi"/>
        </w:rPr>
        <w:t>okresie</w:t>
      </w:r>
      <w:r w:rsidRPr="00246BB8">
        <w:rPr>
          <w:rFonts w:asciiTheme="majorHAnsi" w:hAnsiTheme="majorHAnsi" w:cstheme="majorHAnsi"/>
          <w:spacing w:val="-3"/>
        </w:rPr>
        <w:t xml:space="preserve"> </w:t>
      </w:r>
      <w:r w:rsidRPr="00246BB8">
        <w:rPr>
          <w:rFonts w:asciiTheme="majorHAnsi" w:hAnsiTheme="majorHAnsi" w:cstheme="majorHAnsi"/>
        </w:rPr>
        <w:t>rozliczeniowym</w:t>
      </w:r>
      <w:r w:rsidRPr="00246BB8">
        <w:rPr>
          <w:rFonts w:asciiTheme="majorHAnsi" w:hAnsiTheme="majorHAnsi" w:cstheme="majorHAnsi"/>
          <w:spacing w:val="-2"/>
        </w:rPr>
        <w:t xml:space="preserve"> [gr/kWh]</w:t>
      </w:r>
    </w:p>
    <w:p w14:paraId="73BCDBD8" w14:textId="77777777" w:rsidR="00801ACD" w:rsidRPr="00246BB8" w:rsidRDefault="00801ACD" w:rsidP="00801ACD">
      <w:pPr>
        <w:tabs>
          <w:tab w:val="left" w:pos="1651"/>
          <w:tab w:val="left" w:pos="1701"/>
        </w:tabs>
        <w:spacing w:before="18" w:line="276" w:lineRule="auto"/>
        <w:ind w:left="1134" w:firstLine="1134"/>
        <w:rPr>
          <w:rFonts w:asciiTheme="majorHAnsi" w:hAnsiTheme="majorHAnsi" w:cstheme="majorHAnsi"/>
        </w:rPr>
      </w:pPr>
      <w:r w:rsidRPr="00246BB8">
        <w:rPr>
          <w:rFonts w:asciiTheme="majorHAnsi" w:hAnsiTheme="majorHAnsi" w:cstheme="majorHAnsi"/>
          <w:b/>
          <w:bCs/>
          <w:spacing w:val="-6"/>
        </w:rPr>
        <w:t>W</w:t>
      </w:r>
      <w:r w:rsidRPr="00246BB8">
        <w:rPr>
          <w:rFonts w:asciiTheme="majorHAnsi" w:hAnsiTheme="majorHAnsi" w:cstheme="majorHAnsi"/>
          <w:b/>
          <w:bCs/>
          <w:spacing w:val="-6"/>
        </w:rPr>
        <w:tab/>
      </w:r>
      <w:r w:rsidRPr="00246BB8">
        <w:rPr>
          <w:rFonts w:asciiTheme="majorHAnsi" w:hAnsiTheme="majorHAnsi" w:cstheme="majorHAnsi"/>
          <w:b/>
          <w:bCs/>
          <w:spacing w:val="-6"/>
        </w:rPr>
        <w:tab/>
      </w:r>
      <w:r w:rsidRPr="00246BB8">
        <w:rPr>
          <w:rFonts w:asciiTheme="majorHAnsi" w:hAnsiTheme="majorHAnsi" w:cstheme="majorHAnsi"/>
          <w:spacing w:val="-6"/>
        </w:rPr>
        <w:t>wolumen/ilość Paliwa gazowego pobrany w danym Miesiącu gazowym</w:t>
      </w:r>
    </w:p>
    <w:p w14:paraId="2F4AEA9A" w14:textId="77777777" w:rsidR="00801ACD" w:rsidRPr="00246BB8" w:rsidRDefault="00801ACD" w:rsidP="00801ACD">
      <w:pPr>
        <w:tabs>
          <w:tab w:val="left" w:pos="2268"/>
          <w:tab w:val="left" w:pos="2410"/>
        </w:tabs>
        <w:spacing w:before="13" w:line="276" w:lineRule="auto"/>
        <w:ind w:left="3544" w:hanging="1276"/>
        <w:jc w:val="both"/>
        <w:rPr>
          <w:rFonts w:asciiTheme="majorHAnsi" w:hAnsiTheme="majorHAnsi" w:cstheme="majorHAnsi"/>
        </w:rPr>
      </w:pPr>
      <w:r w:rsidRPr="00246BB8">
        <w:rPr>
          <w:rFonts w:asciiTheme="majorHAnsi" w:hAnsiTheme="majorHAnsi" w:cstheme="majorHAnsi"/>
          <w:b/>
          <w:bCs/>
          <w:spacing w:val="-2"/>
        </w:rPr>
        <w:t>CP</w:t>
      </w:r>
      <w:r w:rsidRPr="00246BB8">
        <w:rPr>
          <w:rFonts w:asciiTheme="majorHAnsi" w:hAnsiTheme="majorHAnsi" w:cstheme="majorHAnsi"/>
          <w:b/>
          <w:bCs/>
          <w:spacing w:val="-2"/>
          <w:vertAlign w:val="subscript"/>
        </w:rPr>
        <w:t>JEDNOSTKOWA</w:t>
      </w:r>
      <w:r w:rsidRPr="00246BB8">
        <w:rPr>
          <w:rFonts w:asciiTheme="majorHAnsi" w:hAnsiTheme="majorHAnsi" w:cstheme="majorHAnsi"/>
          <w:spacing w:val="-10"/>
        </w:rPr>
        <w:t>-</w:t>
      </w:r>
      <w:r w:rsidRPr="00246BB8">
        <w:rPr>
          <w:rFonts w:asciiTheme="majorHAnsi" w:hAnsiTheme="majorHAnsi" w:cstheme="majorHAnsi"/>
        </w:rPr>
        <w:tab/>
        <w:t>cena jednostkowa Paliwa gazowego ustalona w danym Miesiącu gazowym [gr/kWh] zgodnie ze wzorem:</w:t>
      </w:r>
    </w:p>
    <w:p w14:paraId="6816D69B" w14:textId="77777777" w:rsidR="00801ACD" w:rsidRPr="00246BB8" w:rsidRDefault="00801ACD" w:rsidP="00801ACD">
      <w:pPr>
        <w:pStyle w:val="Tekstpodstawowy"/>
        <w:spacing w:before="5" w:line="276" w:lineRule="auto"/>
        <w:ind w:left="3828" w:right="844" w:hanging="284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b/>
          <w:bCs/>
          <w:spacing w:val="-2"/>
          <w:sz w:val="22"/>
          <w:szCs w:val="22"/>
        </w:rPr>
        <w:t>CP</w:t>
      </w:r>
      <w:r w:rsidRPr="00246BB8">
        <w:rPr>
          <w:rFonts w:asciiTheme="majorHAnsi" w:hAnsiTheme="majorHAnsi" w:cstheme="majorHAnsi"/>
          <w:b/>
          <w:bCs/>
          <w:spacing w:val="-2"/>
          <w:sz w:val="22"/>
          <w:szCs w:val="22"/>
          <w:vertAlign w:val="subscript"/>
        </w:rPr>
        <w:t>JEDNOSTKOWA</w:t>
      </w:r>
      <w:r w:rsidRPr="00246BB8">
        <w:rPr>
          <w:rFonts w:asciiTheme="majorHAnsi" w:hAnsiTheme="majorHAnsi" w:cstheme="majorHAnsi"/>
          <w:sz w:val="22"/>
          <w:szCs w:val="22"/>
        </w:rPr>
        <w:t xml:space="preserve"> = ŚrW + N + Kn</w:t>
      </w:r>
    </w:p>
    <w:p w14:paraId="4F33EF25" w14:textId="77777777" w:rsidR="00801ACD" w:rsidRPr="00246BB8" w:rsidRDefault="00801ACD" w:rsidP="00801ACD">
      <w:pPr>
        <w:tabs>
          <w:tab w:val="left" w:pos="2268"/>
          <w:tab w:val="left" w:pos="2410"/>
        </w:tabs>
        <w:spacing w:before="13" w:line="276" w:lineRule="auto"/>
        <w:ind w:left="2268" w:hanging="567"/>
        <w:jc w:val="both"/>
        <w:rPr>
          <w:rFonts w:asciiTheme="majorHAnsi" w:hAnsiTheme="majorHAnsi" w:cstheme="majorHAnsi"/>
        </w:rPr>
      </w:pPr>
      <w:r w:rsidRPr="00246BB8">
        <w:rPr>
          <w:rFonts w:asciiTheme="majorHAnsi" w:hAnsiTheme="majorHAnsi" w:cstheme="majorHAnsi"/>
        </w:rPr>
        <w:t>gdzie:</w:t>
      </w:r>
    </w:p>
    <w:p w14:paraId="166A3B6E" w14:textId="77777777" w:rsidR="00801ACD" w:rsidRPr="00246BB8" w:rsidRDefault="00801ACD" w:rsidP="00801ACD">
      <w:pPr>
        <w:pStyle w:val="Tekstpodstawowy"/>
        <w:spacing w:before="5" w:line="276" w:lineRule="auto"/>
        <w:ind w:left="2268" w:right="844" w:hanging="56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b/>
          <w:bCs/>
          <w:sz w:val="22"/>
          <w:szCs w:val="22"/>
        </w:rPr>
        <w:t>ŚrW</w:t>
      </w:r>
      <w:r w:rsidRPr="00246BB8">
        <w:rPr>
          <w:rFonts w:asciiTheme="majorHAnsi" w:hAnsiTheme="majorHAnsi" w:cstheme="majorHAnsi"/>
          <w:sz w:val="22"/>
          <w:szCs w:val="22"/>
        </w:rPr>
        <w:tab/>
        <w:t>oznacza średnią cen transz ważoną wolumenem tych transz i ŚrRDB obliczaną zgodnie ze wzorem: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387"/>
      </w:tblGrid>
      <w:tr w:rsidR="00801ACD" w:rsidRPr="00246BB8" w14:paraId="2D148EFA" w14:textId="77777777" w:rsidTr="00646598">
        <w:trPr>
          <w:trHeight w:val="724"/>
        </w:trPr>
        <w:tc>
          <w:tcPr>
            <w:tcW w:w="2410" w:type="dxa"/>
          </w:tcPr>
          <w:p w14:paraId="0476AE66" w14:textId="77777777" w:rsidR="00801ACD" w:rsidRPr="00246BB8" w:rsidRDefault="00801ACD" w:rsidP="00646598">
            <w:pPr>
              <w:tabs>
                <w:tab w:val="left" w:pos="2268"/>
                <w:tab w:val="left" w:pos="2410"/>
              </w:tabs>
              <w:spacing w:before="240" w:line="276" w:lineRule="auto"/>
              <w:ind w:left="2268" w:hanging="567"/>
              <w:jc w:val="both"/>
              <w:rPr>
                <w:rFonts w:asciiTheme="majorHAnsi" w:hAnsiTheme="majorHAnsi" w:cstheme="majorHAnsi"/>
              </w:rPr>
            </w:pPr>
            <w:r w:rsidRPr="00246BB8">
              <w:rPr>
                <w:rFonts w:asciiTheme="majorHAnsi" w:hAnsiTheme="majorHAnsi" w:cstheme="majorHAnsi"/>
                <w:b/>
                <w:bCs/>
              </w:rPr>
              <w:t>ŚrW=</w:t>
            </w:r>
          </w:p>
        </w:tc>
        <w:tc>
          <w:tcPr>
            <w:tcW w:w="5387" w:type="dxa"/>
          </w:tcPr>
          <w:p w14:paraId="580D44D0" w14:textId="77777777" w:rsidR="00801ACD" w:rsidRPr="00246BB8" w:rsidRDefault="00801ACD" w:rsidP="00646598">
            <w:pPr>
              <w:tabs>
                <w:tab w:val="left" w:pos="2268"/>
                <w:tab w:val="left" w:pos="2410"/>
              </w:tabs>
              <w:spacing w:before="120" w:line="276" w:lineRule="auto"/>
              <w:ind w:left="2268" w:hanging="2095"/>
              <w:jc w:val="center"/>
              <w:rPr>
                <w:rFonts w:asciiTheme="majorHAnsi" w:hAnsiTheme="majorHAnsi" w:cstheme="majorHAnsi"/>
                <w:u w:val="single"/>
              </w:rPr>
            </w:pPr>
            <w:r w:rsidRPr="00246BB8">
              <w:rPr>
                <w:rFonts w:asciiTheme="majorHAnsi" w:hAnsiTheme="majorHAnsi" w:cstheme="majorHAnsi"/>
                <w:b/>
                <w:bCs/>
                <w:u w:val="single"/>
              </w:rPr>
              <w:t>W1</w:t>
            </w:r>
            <w:r w:rsidRPr="00246BB8">
              <w:rPr>
                <w:rFonts w:asciiTheme="majorHAnsi" w:hAnsiTheme="majorHAnsi" w:cstheme="majorHAnsi"/>
                <w:u w:val="single"/>
              </w:rPr>
              <w:t xml:space="preserve"> x </w:t>
            </w:r>
            <w:r w:rsidRPr="00246BB8">
              <w:rPr>
                <w:rFonts w:asciiTheme="majorHAnsi" w:hAnsiTheme="majorHAnsi" w:cstheme="majorHAnsi"/>
                <w:b/>
                <w:bCs/>
                <w:u w:val="single"/>
              </w:rPr>
              <w:t>TP1</w:t>
            </w:r>
            <w:r w:rsidRPr="00246BB8">
              <w:rPr>
                <w:rFonts w:asciiTheme="majorHAnsi" w:hAnsiTheme="majorHAnsi" w:cstheme="majorHAnsi"/>
                <w:u w:val="single"/>
              </w:rPr>
              <w:t>+</w:t>
            </w:r>
            <w:r w:rsidRPr="00246BB8">
              <w:rPr>
                <w:rFonts w:asciiTheme="majorHAnsi" w:hAnsiTheme="majorHAnsi" w:cstheme="majorHAnsi"/>
                <w:b/>
                <w:bCs/>
                <w:u w:val="single"/>
              </w:rPr>
              <w:t>W2</w:t>
            </w:r>
            <w:r w:rsidRPr="00246BB8">
              <w:rPr>
                <w:rFonts w:asciiTheme="majorHAnsi" w:hAnsiTheme="majorHAnsi" w:cstheme="majorHAnsi"/>
                <w:u w:val="single"/>
              </w:rPr>
              <w:t xml:space="preserve"> x </w:t>
            </w:r>
            <w:r w:rsidRPr="00246BB8">
              <w:rPr>
                <w:rFonts w:asciiTheme="majorHAnsi" w:hAnsiTheme="majorHAnsi" w:cstheme="majorHAnsi"/>
                <w:b/>
                <w:bCs/>
                <w:u w:val="single"/>
              </w:rPr>
              <w:t>TP2</w:t>
            </w:r>
            <w:r w:rsidRPr="00246BB8">
              <w:rPr>
                <w:rFonts w:asciiTheme="majorHAnsi" w:hAnsiTheme="majorHAnsi" w:cstheme="majorHAnsi"/>
                <w:u w:val="single"/>
              </w:rPr>
              <w:t>+…+</w:t>
            </w:r>
            <w:r w:rsidRPr="00246BB8">
              <w:rPr>
                <w:rFonts w:asciiTheme="majorHAnsi" w:hAnsiTheme="majorHAnsi" w:cstheme="majorHAnsi"/>
                <w:b/>
                <w:bCs/>
                <w:u w:val="single"/>
              </w:rPr>
              <w:t>Wn</w:t>
            </w:r>
            <w:r w:rsidRPr="00246BB8">
              <w:rPr>
                <w:rFonts w:asciiTheme="majorHAnsi" w:hAnsiTheme="majorHAnsi" w:cstheme="majorHAnsi"/>
                <w:u w:val="single"/>
              </w:rPr>
              <w:t xml:space="preserve"> x </w:t>
            </w:r>
            <w:r w:rsidRPr="00246BB8">
              <w:rPr>
                <w:rFonts w:asciiTheme="majorHAnsi" w:hAnsiTheme="majorHAnsi" w:cstheme="majorHAnsi"/>
                <w:b/>
                <w:bCs/>
                <w:u w:val="single"/>
              </w:rPr>
              <w:t>TPn</w:t>
            </w:r>
            <w:r w:rsidRPr="00246BB8">
              <w:rPr>
                <w:rFonts w:asciiTheme="majorHAnsi" w:hAnsiTheme="majorHAnsi" w:cstheme="majorHAnsi"/>
                <w:u w:val="single"/>
              </w:rPr>
              <w:t xml:space="preserve"> + </w:t>
            </w:r>
            <w:r w:rsidRPr="00246BB8">
              <w:rPr>
                <w:rFonts w:asciiTheme="majorHAnsi" w:hAnsiTheme="majorHAnsi" w:cstheme="majorHAnsi"/>
                <w:b/>
                <w:bCs/>
                <w:u w:val="single"/>
              </w:rPr>
              <w:t>Wśr</w:t>
            </w:r>
            <w:r w:rsidRPr="00246BB8">
              <w:rPr>
                <w:rFonts w:asciiTheme="majorHAnsi" w:hAnsiTheme="majorHAnsi" w:cstheme="majorHAnsi"/>
                <w:u w:val="single"/>
              </w:rPr>
              <w:t xml:space="preserve"> x </w:t>
            </w:r>
            <w:r w:rsidRPr="00246BB8">
              <w:rPr>
                <w:rFonts w:asciiTheme="majorHAnsi" w:hAnsiTheme="majorHAnsi" w:cstheme="majorHAnsi"/>
                <w:b/>
                <w:bCs/>
                <w:u w:val="single"/>
              </w:rPr>
              <w:t>ŚrRDB</w:t>
            </w:r>
          </w:p>
          <w:p w14:paraId="1015BD87" w14:textId="77777777" w:rsidR="00801ACD" w:rsidRPr="00246BB8" w:rsidRDefault="00801ACD" w:rsidP="00646598">
            <w:pPr>
              <w:tabs>
                <w:tab w:val="left" w:pos="2268"/>
                <w:tab w:val="left" w:pos="2410"/>
              </w:tabs>
              <w:spacing w:before="13" w:line="276" w:lineRule="auto"/>
              <w:ind w:left="2268" w:hanging="567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46BB8">
              <w:rPr>
                <w:rFonts w:asciiTheme="majorHAnsi" w:hAnsiTheme="majorHAnsi" w:cstheme="majorHAnsi"/>
                <w:b/>
                <w:bCs/>
              </w:rPr>
              <w:t xml:space="preserve">W1 </w:t>
            </w:r>
            <w:r w:rsidRPr="00246BB8">
              <w:rPr>
                <w:rFonts w:asciiTheme="majorHAnsi" w:hAnsiTheme="majorHAnsi" w:cstheme="majorHAnsi"/>
              </w:rPr>
              <w:t xml:space="preserve">+ </w:t>
            </w:r>
            <w:r w:rsidRPr="00246BB8">
              <w:rPr>
                <w:rFonts w:asciiTheme="majorHAnsi" w:hAnsiTheme="majorHAnsi" w:cstheme="majorHAnsi"/>
                <w:b/>
                <w:bCs/>
              </w:rPr>
              <w:t>W2</w:t>
            </w:r>
            <w:r w:rsidRPr="00246BB8">
              <w:rPr>
                <w:rFonts w:asciiTheme="majorHAnsi" w:hAnsiTheme="majorHAnsi" w:cstheme="majorHAnsi"/>
              </w:rPr>
              <w:t xml:space="preserve"> + ... + </w:t>
            </w:r>
            <w:r w:rsidRPr="00246BB8">
              <w:rPr>
                <w:rFonts w:asciiTheme="majorHAnsi" w:hAnsiTheme="majorHAnsi" w:cstheme="majorHAnsi"/>
                <w:b/>
                <w:bCs/>
              </w:rPr>
              <w:t>Wn</w:t>
            </w:r>
            <w:r w:rsidRPr="00246BB8">
              <w:rPr>
                <w:rFonts w:asciiTheme="majorHAnsi" w:hAnsiTheme="majorHAnsi" w:cstheme="majorHAnsi"/>
              </w:rPr>
              <w:t xml:space="preserve"> + </w:t>
            </w:r>
            <w:r w:rsidRPr="00246BB8">
              <w:rPr>
                <w:rFonts w:asciiTheme="majorHAnsi" w:hAnsiTheme="majorHAnsi" w:cstheme="majorHAnsi"/>
                <w:b/>
                <w:bCs/>
              </w:rPr>
              <w:t>Wśr</w:t>
            </w:r>
          </w:p>
        </w:tc>
      </w:tr>
    </w:tbl>
    <w:p w14:paraId="08BDE9BC" w14:textId="77777777" w:rsidR="00801ACD" w:rsidRPr="00246BB8" w:rsidRDefault="00801ACD" w:rsidP="00801ACD">
      <w:pPr>
        <w:pStyle w:val="Tekstpodstawowy"/>
        <w:spacing w:before="5" w:line="276" w:lineRule="auto"/>
        <w:ind w:left="2268" w:right="844" w:hanging="56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b/>
          <w:bCs/>
          <w:sz w:val="22"/>
          <w:szCs w:val="22"/>
        </w:rPr>
        <w:t>Wn</w:t>
      </w:r>
      <w:r w:rsidRPr="00246BB8">
        <w:rPr>
          <w:rFonts w:asciiTheme="majorHAnsi" w:hAnsiTheme="majorHAnsi" w:cstheme="majorHAnsi"/>
          <w:sz w:val="22"/>
          <w:szCs w:val="22"/>
        </w:rPr>
        <w:t xml:space="preserve"> –</w:t>
      </w:r>
      <w:r w:rsidRPr="00246BB8">
        <w:rPr>
          <w:rFonts w:asciiTheme="majorHAnsi" w:hAnsiTheme="majorHAnsi" w:cstheme="majorHAnsi"/>
          <w:sz w:val="22"/>
          <w:szCs w:val="22"/>
        </w:rPr>
        <w:tab/>
        <w:t>oznacza wolumen/ilość Paliwa gazowego określoną przez Zamawiającego w zamówieniu „n” transzy realizowanej w danym Miesiącu gazowym [kWh], wynikającą z jej procentowego udziału w stosunku do sumarycznego zamówienia obowiązującego dla danego Miesiąca gazowego dla Miejsca odbioru objętych Aneksem.</w:t>
      </w:r>
    </w:p>
    <w:p w14:paraId="78BC8DC3" w14:textId="77777777" w:rsidR="00801ACD" w:rsidRPr="00246BB8" w:rsidRDefault="00801ACD" w:rsidP="00801ACD">
      <w:pPr>
        <w:pStyle w:val="Tekstpodstawowy"/>
        <w:spacing w:before="5" w:line="276" w:lineRule="auto"/>
        <w:ind w:left="2268" w:right="844" w:hanging="56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b/>
          <w:bCs/>
          <w:sz w:val="22"/>
          <w:szCs w:val="22"/>
        </w:rPr>
        <w:t>TPn</w:t>
      </w:r>
      <w:r w:rsidRPr="00246BB8">
        <w:rPr>
          <w:rFonts w:asciiTheme="majorHAnsi" w:hAnsiTheme="majorHAnsi" w:cstheme="majorHAnsi"/>
          <w:sz w:val="22"/>
          <w:szCs w:val="22"/>
        </w:rPr>
        <w:t xml:space="preserve"> –</w:t>
      </w:r>
      <w:r w:rsidRPr="00246BB8">
        <w:rPr>
          <w:rFonts w:asciiTheme="majorHAnsi" w:hAnsiTheme="majorHAnsi" w:cstheme="majorHAnsi"/>
          <w:sz w:val="22"/>
          <w:szCs w:val="22"/>
        </w:rPr>
        <w:tab/>
        <w:t>oznacza cenę „n” transzy realizowanej w danym Miesiącu gazowym [gr/kWh] (odpowiada aktualnemu na dzień określenia transzy przez Zamawiającego kursowi rozliczeniowemu wybranego przez Zamawiającego dla danej transzy instrumentu terminowego towarowego na gaz(E) notowanego na Rynku Terminowym Produktów z dostawą gazu prowadzonym przez Towarową Giełdę Energii S.A. („RTPG”). Wartości wejściowe uwzględniane są w formie w jakiej zostały opublikowane z przeliczeniem na jednostki gr/kWh).</w:t>
      </w:r>
    </w:p>
    <w:p w14:paraId="74976214" w14:textId="77777777" w:rsidR="00801ACD" w:rsidRPr="00246BB8" w:rsidRDefault="00801ACD" w:rsidP="00801ACD">
      <w:pPr>
        <w:pStyle w:val="Tekstpodstawowy"/>
        <w:spacing w:before="5" w:line="276" w:lineRule="auto"/>
        <w:ind w:left="2268" w:right="844" w:hanging="56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b/>
          <w:bCs/>
          <w:sz w:val="22"/>
          <w:szCs w:val="22"/>
        </w:rPr>
        <w:t>ŚrRDB</w:t>
      </w:r>
      <w:r w:rsidRPr="00246BB8">
        <w:rPr>
          <w:rFonts w:asciiTheme="majorHAnsi" w:hAnsiTheme="majorHAnsi" w:cstheme="majorHAnsi"/>
          <w:sz w:val="22"/>
          <w:szCs w:val="22"/>
        </w:rPr>
        <w:t xml:space="preserve"> –</w:t>
      </w:r>
      <w:r w:rsidRPr="00246BB8">
        <w:rPr>
          <w:rFonts w:asciiTheme="majorHAnsi" w:hAnsiTheme="majorHAnsi" w:cstheme="majorHAnsi"/>
          <w:sz w:val="22"/>
          <w:szCs w:val="22"/>
        </w:rPr>
        <w:tab/>
        <w:t>oznacza średnią arytmetyczną dobowych notowań indeksu TGEgasID na Rynku Dnia Bieżącego Towarowej Giełdy Energii S.A. w danym Miesiącu gazowym2 [gr/kWh]. Średnia obliczana jest z zaokrągleniem do 3 (trzech) miejsc po przecinku. Wartości wejściowe do obliczenia średniej uwzględniane są w formie w jakiej zostały opublikowane z przeliczeniem na jednostki gr/kWh.</w:t>
      </w:r>
    </w:p>
    <w:p w14:paraId="6E9A9D5D" w14:textId="77777777" w:rsidR="00801ACD" w:rsidRPr="00246BB8" w:rsidRDefault="00801ACD" w:rsidP="00801ACD">
      <w:pPr>
        <w:pStyle w:val="Tekstpodstawowy"/>
        <w:spacing w:before="5" w:line="276" w:lineRule="auto"/>
        <w:ind w:left="2268" w:right="844" w:hanging="56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b/>
          <w:bCs/>
          <w:sz w:val="22"/>
          <w:szCs w:val="22"/>
        </w:rPr>
        <w:t>Wśr</w:t>
      </w:r>
      <w:r w:rsidRPr="00246BB8">
        <w:rPr>
          <w:rFonts w:asciiTheme="majorHAnsi" w:hAnsiTheme="majorHAnsi" w:cstheme="majorHAnsi"/>
          <w:sz w:val="22"/>
          <w:szCs w:val="22"/>
        </w:rPr>
        <w:t xml:space="preserve"> –</w:t>
      </w:r>
      <w:r w:rsidRPr="00246BB8">
        <w:rPr>
          <w:rFonts w:asciiTheme="majorHAnsi" w:hAnsiTheme="majorHAnsi" w:cstheme="majorHAnsi"/>
          <w:sz w:val="22"/>
          <w:szCs w:val="22"/>
        </w:rPr>
        <w:tab/>
        <w:t>oznacza wolumen/ilość Paliwa gazowego [kWh] pobranego przez Zamawiającego w danym Miesiącu gazowym przekraczającą ilości określone w transzach realizowanych w takim miesiącu3.</w:t>
      </w:r>
    </w:p>
    <w:p w14:paraId="3C93DB9E" w14:textId="77777777" w:rsidR="00801ACD" w:rsidRPr="00246BB8" w:rsidRDefault="00801ACD" w:rsidP="00801ACD">
      <w:pPr>
        <w:pStyle w:val="Tekstpodstawowy"/>
        <w:spacing w:before="5" w:line="276" w:lineRule="auto"/>
        <w:ind w:left="2268" w:right="844" w:hanging="567"/>
        <w:rPr>
          <w:rFonts w:asciiTheme="majorHAnsi" w:hAnsiTheme="majorHAnsi" w:cstheme="majorHAnsi"/>
          <w:sz w:val="22"/>
          <w:szCs w:val="22"/>
        </w:rPr>
      </w:pPr>
    </w:p>
    <w:p w14:paraId="0F5D065B" w14:textId="77777777" w:rsidR="00801ACD" w:rsidRPr="00246BB8" w:rsidRDefault="00801ACD" w:rsidP="00801ACD">
      <w:pPr>
        <w:pStyle w:val="Tekstpodstawowy"/>
        <w:spacing w:before="5" w:line="276" w:lineRule="auto"/>
        <w:ind w:left="2268" w:right="844" w:hanging="56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Pr="00246BB8">
        <w:rPr>
          <w:rFonts w:asciiTheme="majorHAnsi" w:hAnsiTheme="majorHAnsi" w:cstheme="majorHAnsi"/>
          <w:sz w:val="22"/>
          <w:szCs w:val="22"/>
        </w:rPr>
        <w:tab/>
        <w:t>– oznacza narzut Wykonawcy w wysokości</w:t>
      </w:r>
      <w:r w:rsidRPr="00246BB8">
        <w:rPr>
          <w:rFonts w:asciiTheme="majorHAnsi" w:hAnsiTheme="majorHAnsi" w:cstheme="majorHAnsi"/>
          <w:sz w:val="22"/>
          <w:szCs w:val="22"/>
        </w:rPr>
        <w:tab/>
        <w:t>gr/kWh.</w:t>
      </w:r>
    </w:p>
    <w:p w14:paraId="7EC98F3F" w14:textId="77777777" w:rsidR="00801ACD" w:rsidRPr="00246BB8" w:rsidRDefault="00801ACD" w:rsidP="00801ACD">
      <w:pPr>
        <w:pStyle w:val="Tekstpodstawowy"/>
        <w:spacing w:before="5" w:line="276" w:lineRule="auto"/>
        <w:ind w:left="2268" w:right="844" w:hanging="56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b/>
          <w:bCs/>
          <w:sz w:val="22"/>
          <w:szCs w:val="22"/>
        </w:rPr>
        <w:lastRenderedPageBreak/>
        <w:t>Kn</w:t>
      </w:r>
      <w:r w:rsidRPr="00246BB8">
        <w:rPr>
          <w:rFonts w:asciiTheme="majorHAnsi" w:hAnsiTheme="majorHAnsi" w:cstheme="majorHAnsi"/>
          <w:sz w:val="22"/>
          <w:szCs w:val="22"/>
        </w:rPr>
        <w:tab/>
        <w:t xml:space="preserve"> – jednostkowy koszt odebrania Paliwa gazowego w ilości mniejszej niż określona w zamówieniu transzowym [gr/kWh] obliczany zgodnie ze wzorem4:</w:t>
      </w:r>
    </w:p>
    <w:tbl>
      <w:tblPr>
        <w:tblStyle w:val="Tabela-Siatka"/>
        <w:tblW w:w="6521" w:type="dxa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</w:tblGrid>
      <w:tr w:rsidR="00801ACD" w:rsidRPr="00246BB8" w14:paraId="06EB5935" w14:textId="77777777" w:rsidTr="00646598">
        <w:tc>
          <w:tcPr>
            <w:tcW w:w="709" w:type="dxa"/>
            <w:vAlign w:val="center"/>
          </w:tcPr>
          <w:p w14:paraId="15895AF3" w14:textId="77777777" w:rsidR="00801ACD" w:rsidRPr="00246BB8" w:rsidRDefault="00801ACD" w:rsidP="00646598">
            <w:pPr>
              <w:pStyle w:val="Tekstpodstawowy"/>
              <w:spacing w:before="5" w:line="276" w:lineRule="auto"/>
              <w:ind w:right="-251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6BB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Kn =</w:t>
            </w:r>
          </w:p>
        </w:tc>
        <w:tc>
          <w:tcPr>
            <w:tcW w:w="5812" w:type="dxa"/>
            <w:vAlign w:val="center"/>
          </w:tcPr>
          <w:p w14:paraId="5172E7E1" w14:textId="77777777" w:rsidR="00801ACD" w:rsidRPr="00246BB8" w:rsidRDefault="00801ACD" w:rsidP="00646598">
            <w:pPr>
              <w:pStyle w:val="Tekstpodstawowy"/>
              <w:spacing w:line="276" w:lineRule="auto"/>
              <w:ind w:left="1733" w:right="844" w:hanging="1559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246BB8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(ŚrW - ŚrRDB) x (W1+W2+...+Wn - W)</w:t>
            </w:r>
          </w:p>
          <w:p w14:paraId="40368724" w14:textId="77777777" w:rsidR="00801ACD" w:rsidRPr="00246BB8" w:rsidRDefault="00801ACD" w:rsidP="00646598">
            <w:pPr>
              <w:pStyle w:val="Tekstpodstawowy"/>
              <w:tabs>
                <w:tab w:val="left" w:pos="3154"/>
              </w:tabs>
              <w:spacing w:line="276" w:lineRule="auto"/>
              <w:ind w:left="2268" w:right="1168" w:hanging="56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46BB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</w:t>
            </w:r>
          </w:p>
        </w:tc>
      </w:tr>
    </w:tbl>
    <w:p w14:paraId="0DC9F3AA" w14:textId="77777777" w:rsidR="00801ACD" w:rsidRPr="00246BB8" w:rsidRDefault="00801ACD" w:rsidP="00801ACD">
      <w:pPr>
        <w:pStyle w:val="Tekstpodstawowy"/>
        <w:spacing w:before="5" w:line="276" w:lineRule="auto"/>
        <w:ind w:left="2268" w:right="844" w:hanging="56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>Jeżeli wyrażenie ŚrW-ŚrRDB przyjmuje wartość ujemną (ŚrW-ŚrRDB&lt;0) lub (W1 +W2 +…+ Wn – W)&lt;0 lub W ma wartość zerową (0) przyjmuje się że wartość Kn wynosi zero (0).</w:t>
      </w:r>
    </w:p>
    <w:p w14:paraId="17957715" w14:textId="77777777" w:rsidR="00801ACD" w:rsidRPr="00246BB8" w:rsidRDefault="00801ACD" w:rsidP="00801ACD">
      <w:pPr>
        <w:pStyle w:val="Tekstpodstawowy"/>
        <w:spacing w:before="5" w:line="276" w:lineRule="auto"/>
        <w:ind w:left="851" w:right="844"/>
        <w:rPr>
          <w:rFonts w:asciiTheme="majorHAnsi" w:hAnsiTheme="majorHAnsi" w:cstheme="majorHAnsi"/>
          <w:sz w:val="22"/>
          <w:szCs w:val="22"/>
        </w:rPr>
      </w:pPr>
    </w:p>
    <w:p w14:paraId="5C062E8E" w14:textId="77777777" w:rsidR="00801ACD" w:rsidRPr="00246BB8" w:rsidRDefault="00801ACD" w:rsidP="00801ACD">
      <w:pPr>
        <w:pStyle w:val="Tekstpodstawowy"/>
        <w:spacing w:before="5" w:line="276" w:lineRule="auto"/>
        <w:ind w:left="1418" w:right="844" w:hanging="56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>Dokładność obliczeń:</w:t>
      </w:r>
    </w:p>
    <w:p w14:paraId="7434D3D3" w14:textId="77777777" w:rsidR="00801ACD" w:rsidRPr="00246BB8" w:rsidRDefault="00801ACD" w:rsidP="00801ACD">
      <w:pPr>
        <w:pStyle w:val="Tekstpodstawowy"/>
        <w:spacing w:before="5" w:line="276" w:lineRule="auto"/>
        <w:ind w:left="851" w:right="844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>Wartość końcowa ŚrW i Kn podawana jest z zaokrągleniem do 3 miejsc po przecinku. Wyniki przeliczeń na wcześniejszych etapach (poza wartością ŚrRDB) nie podlegają zaokrągleniom. Działanie zaokrągleń wykonuje się poprzez zwiększenie o 1 (jeden) ostatniej cyfry, jeżeli kolejna cyfra liczby początkowej jest równa lub większa od 5 (pięciu). Jeżeli kolejna cyfra liczby początkowej jest mniejsza od 5 (pięciu), ostatnia cyfra nie zmienia się.</w:t>
      </w:r>
    </w:p>
    <w:p w14:paraId="29AF487B" w14:textId="77777777" w:rsidR="00801ACD" w:rsidRPr="00246BB8" w:rsidRDefault="00801ACD" w:rsidP="00801ACD">
      <w:pPr>
        <w:pStyle w:val="Tekstpodstawowy"/>
        <w:spacing w:before="5" w:line="276" w:lineRule="auto"/>
        <w:ind w:left="1418" w:right="844" w:hanging="56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>2.</w:t>
      </w:r>
      <w:r w:rsidRPr="00246BB8">
        <w:rPr>
          <w:rFonts w:asciiTheme="majorHAnsi" w:hAnsiTheme="majorHAnsi" w:cstheme="majorHAnsi"/>
          <w:sz w:val="22"/>
          <w:szCs w:val="22"/>
        </w:rPr>
        <w:tab/>
        <w:t>Jeżeli w danym Miesiącu gazowym Zamawiający pobierze większe ilości Paliwa gazowego niż łączna ilość wynikająca z realizowanych w tym miesiącu transz, ilości te będą rozliczane po średniej arytmetycznej dobowych notowań indeksu TGEgasID na Rynku Dnia Bieżącego Towarowej Giełdy Energii S.A. w danym Miesiącu gazowym i odpowiednio uwzględniane w algorytmie wyliczenia ceny ŚrW, o którym mowa w ust. 1. Postanowienie ma odpowiednie zastosowanie również w sytuacji gdy dla danego Miesiąca gazowego Zamawiający w ogóle nie określił transz.</w:t>
      </w:r>
    </w:p>
    <w:p w14:paraId="447C4FDB" w14:textId="77777777" w:rsidR="00801ACD" w:rsidRPr="00246BB8" w:rsidRDefault="00801ACD" w:rsidP="00801ACD">
      <w:pPr>
        <w:pStyle w:val="Tekstpodstawowy"/>
        <w:spacing w:before="5" w:line="276" w:lineRule="auto"/>
        <w:ind w:left="1418" w:right="844" w:hanging="56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>3.</w:t>
      </w:r>
      <w:r w:rsidRPr="00246BB8">
        <w:rPr>
          <w:rFonts w:asciiTheme="majorHAnsi" w:hAnsiTheme="majorHAnsi" w:cstheme="majorHAnsi"/>
          <w:sz w:val="22"/>
          <w:szCs w:val="22"/>
        </w:rPr>
        <w:tab/>
        <w:t>Jeżeli Zamawiający, odbierze w danym Miesiącu gazowym Paliwo gazowe w ilości mniejszej niż określona w transzach realizowanych w takim Miesiącu gazowym, pomimo, że Wykonawca pozostawał w gotowości do dostarczenia Zamawiającego Paliwa gazowego, Wykonawca uwzględni w algorytmie określonym w ust. 1 wartość jednostkowego kosztu odebrania Paliwa gazowego w ilości mniejszej niż określona w zamówieniu transzowym „Kn” za ilość Paliwa gazowego stanowiącą różnicę między ilością określoną w transzach realizowanych w takim Miesiącu gazowym a ilością faktycznie odebraną w takim Miesiącu gazowym łącznie we wszystkich Miejscach odbioru objętych Aneksem, w wysokości różnicy pomiędzy średnią cen transz realizowanych w takim Miesiącu gazowym ważoną wolumenem określonym w tych transzach a średnią arytmetyczną miesięcznych notowań cen gazu ziemnego wysokometanowego grupy E na Rynku Dnia Bieżącego Towarowej Giełdy Energii S.A. w takim Miesiącu gazowym. Jeżeli różnica cen, o której mowa w poprzednim zdaniu ma wartość ujemną, to przyjmuje się, że różnica ta wynosi zero (0) a jednostkowy koszt „Kn” przyjmuje wartość zerową (0).</w:t>
      </w:r>
    </w:p>
    <w:p w14:paraId="70104EBC" w14:textId="77777777" w:rsidR="00801ACD" w:rsidRPr="00246BB8" w:rsidRDefault="00801ACD" w:rsidP="00801ACD">
      <w:pPr>
        <w:pStyle w:val="Tekstpodstawowy"/>
        <w:spacing w:before="6" w:line="276" w:lineRule="auto"/>
        <w:ind w:left="1418" w:right="844" w:hanging="56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>4.</w:t>
      </w:r>
      <w:r w:rsidRPr="00246BB8">
        <w:rPr>
          <w:rFonts w:asciiTheme="majorHAnsi" w:hAnsiTheme="majorHAnsi" w:cstheme="majorHAnsi"/>
          <w:sz w:val="22"/>
          <w:szCs w:val="22"/>
        </w:rPr>
        <w:tab/>
        <w:t>Jeżeli na dany Miesiąc gazowy Zamawiający określił transze do realizacji, a wartość „W” oznaczająca łączną ilość Paliwa gazowego [kWh] pobranego przez Zamawiającego we Miejscu odbioru w takim Miesiącu gazowym będzie miała wartość zerową (0), pomimo, że Wykonawca pozostawał w gotowości do dostarczenia Zamawiającego Paliwa gazowego w ilości określonej w transzach, Zamawiający zobowiązany będzie do zapłaty na rzecz Wykonawcy opłaty wyliczonej wg. algorytmu:</w:t>
      </w:r>
    </w:p>
    <w:p w14:paraId="3CA97BC2" w14:textId="77777777" w:rsidR="00801ACD" w:rsidRPr="00246BB8" w:rsidRDefault="00801ACD" w:rsidP="00801ACD">
      <w:pPr>
        <w:pStyle w:val="Tekstpodstawowy"/>
        <w:spacing w:before="6" w:line="276" w:lineRule="auto"/>
        <w:ind w:left="6663" w:right="844" w:hanging="297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 xml:space="preserve">K = </w:t>
      </w:r>
      <w:r w:rsidRPr="00246BB8">
        <w:rPr>
          <w:rFonts w:asciiTheme="majorHAnsi" w:hAnsiTheme="majorHAnsi" w:cstheme="majorHAnsi"/>
          <w:sz w:val="22"/>
          <w:szCs w:val="22"/>
          <w:u w:val="single"/>
        </w:rPr>
        <w:t>(ŚrW - ŚrRDB) * (W1+W2+...+Wn)</w:t>
      </w:r>
      <w:r w:rsidRPr="00246BB8">
        <w:rPr>
          <w:rFonts w:asciiTheme="majorHAnsi" w:hAnsiTheme="majorHAnsi" w:cstheme="majorHAnsi"/>
          <w:sz w:val="22"/>
          <w:szCs w:val="22"/>
        </w:rPr>
        <w:t xml:space="preserve"> [zł]</w:t>
      </w:r>
    </w:p>
    <w:p w14:paraId="4CFD85E3" w14:textId="77777777" w:rsidR="00801ACD" w:rsidRPr="00246BB8" w:rsidRDefault="00801ACD" w:rsidP="00801ACD">
      <w:pPr>
        <w:pStyle w:val="Tekstpodstawowy"/>
        <w:spacing w:before="6" w:line="276" w:lineRule="auto"/>
        <w:ind w:left="6663" w:right="844" w:hanging="1418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>100</w:t>
      </w:r>
    </w:p>
    <w:p w14:paraId="35062916" w14:textId="77777777" w:rsidR="00801ACD" w:rsidRPr="00246BB8" w:rsidRDefault="00801ACD" w:rsidP="00801ACD">
      <w:pPr>
        <w:pStyle w:val="Tekstpodstawowy"/>
        <w:spacing w:before="6" w:line="276" w:lineRule="auto"/>
        <w:ind w:left="1418" w:right="844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>Jeżeli wyrażenie ŚrW-ŚrRDB przyjmuje wartość ujemną (ŚrW-ŚrRDB&lt;0) lub (W1+W2+...+Wn)=0 przyjmuje się że wartość „K” wynosi zero (0).</w:t>
      </w:r>
    </w:p>
    <w:p w14:paraId="4862FFBE" w14:textId="77777777" w:rsidR="00801ACD" w:rsidRPr="00246BB8" w:rsidRDefault="00801ACD" w:rsidP="00801ACD">
      <w:pPr>
        <w:pStyle w:val="Tekstpodstawowy"/>
        <w:spacing w:before="6" w:line="276" w:lineRule="auto"/>
        <w:ind w:left="1418" w:right="844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>Dokładność obliczeń:</w:t>
      </w:r>
    </w:p>
    <w:p w14:paraId="18F9F232" w14:textId="77777777" w:rsidR="00801ACD" w:rsidRPr="00246BB8" w:rsidRDefault="00801ACD" w:rsidP="00801ACD">
      <w:pPr>
        <w:pStyle w:val="Tekstpodstawowy"/>
        <w:spacing w:before="6" w:line="276" w:lineRule="auto"/>
        <w:ind w:left="1418" w:right="709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>Wartość końcowa K podawana jest z zaokrągleniem do 2 (dwóch) miejsc po przecinku. Wyniki przeliczeń na wcześniejszych etapach (poza wartością ŚrRDB) nie podlegają zaokrągleniom. Działanie zaokrągleń wykonuje się poprzez zwiększenie o 1 (jeden) ostatniej cyfry, jeżeli kolejna cyfra liczby początkowej jest równa lub większa od 5 (pięciu). Jeżeli kolejna cyfra liczby początkowej jest mniejsza od 5 (pięciu), ostatnia cyfra nie zmienia się.</w:t>
      </w:r>
    </w:p>
    <w:p w14:paraId="47CD174B" w14:textId="77777777" w:rsidR="00801ACD" w:rsidRPr="00246BB8" w:rsidRDefault="00801ACD" w:rsidP="00801ACD">
      <w:pPr>
        <w:pStyle w:val="Tekstpodstawowy"/>
        <w:spacing w:before="6" w:line="276" w:lineRule="auto"/>
        <w:ind w:left="1418" w:right="844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>Do wartości końcowej K Wykonawca doliczy podatek VAT, który należny jest w wysokości określanej aktualnie obowiązującymi przepisami.</w:t>
      </w:r>
    </w:p>
    <w:p w14:paraId="22037BC1" w14:textId="77777777" w:rsidR="00801ACD" w:rsidRPr="00246BB8" w:rsidRDefault="00801ACD" w:rsidP="00801ACD">
      <w:pPr>
        <w:pStyle w:val="Tekstpodstawowy"/>
        <w:spacing w:before="6" w:line="276" w:lineRule="auto"/>
        <w:ind w:left="1418" w:right="844" w:hanging="56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>5.</w:t>
      </w:r>
      <w:r w:rsidRPr="00246BB8">
        <w:rPr>
          <w:rFonts w:asciiTheme="majorHAnsi" w:hAnsiTheme="majorHAnsi" w:cstheme="majorHAnsi"/>
          <w:sz w:val="22"/>
          <w:szCs w:val="22"/>
        </w:rPr>
        <w:tab/>
        <w:t>W przypadku naliczenia opłaty o której mowa w ust. 4, Wykonawca wystawi fakturę VAT dokumentującą opłatę. Zamawiający zobowiązany będzie do zapłaty Wykonawcy opłaty w terminie czternastu (14) dni od dnia wystawienia przez Wykonawcę faktury VAT. Wykonawca zobowiązuje się dostarczyć fakturę VAT nie później niż siedem (7) dni przed terminem płatności.</w:t>
      </w:r>
    </w:p>
    <w:p w14:paraId="7AAF56FA" w14:textId="77777777" w:rsidR="00801ACD" w:rsidRPr="00246BB8" w:rsidRDefault="00801ACD" w:rsidP="00801ACD">
      <w:pPr>
        <w:pStyle w:val="Tekstpodstawowy"/>
        <w:spacing w:before="6" w:line="276" w:lineRule="auto"/>
        <w:ind w:left="1418" w:right="844" w:hanging="56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>6.</w:t>
      </w:r>
      <w:r w:rsidRPr="00246BB8">
        <w:rPr>
          <w:rFonts w:asciiTheme="majorHAnsi" w:hAnsiTheme="majorHAnsi" w:cstheme="majorHAnsi"/>
          <w:sz w:val="22"/>
          <w:szCs w:val="22"/>
        </w:rPr>
        <w:tab/>
        <w:t>Postanowienia ust. 4 i 5 mają zastosowanie tylko w Miesiącach gazowych, w których Zamawiający określił transze Paliwa gazowego.</w:t>
      </w:r>
    </w:p>
    <w:p w14:paraId="33A8BA0B" w14:textId="77777777" w:rsidR="00801ACD" w:rsidRPr="00246BB8" w:rsidRDefault="00801ACD" w:rsidP="00801ACD">
      <w:pPr>
        <w:pStyle w:val="Tekstpodstawowy"/>
        <w:spacing w:before="6" w:line="276" w:lineRule="auto"/>
        <w:ind w:left="1418" w:right="844" w:hanging="567"/>
        <w:jc w:val="left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>7.</w:t>
      </w:r>
      <w:r w:rsidRPr="00246BB8">
        <w:rPr>
          <w:rFonts w:asciiTheme="majorHAnsi" w:hAnsiTheme="majorHAnsi" w:cstheme="majorHAnsi"/>
          <w:sz w:val="22"/>
          <w:szCs w:val="22"/>
        </w:rPr>
        <w:tab/>
        <w:t>Jeżeli w danym Miesiącu gazowym Zamawiający nie określił transz a wartość „W” oznaczająca łączną wolumen/ilość Paliwa gazowego [kWh] pobranego przez Zamawiającego w Miejscu odbioru będzie miała wartość zerową (0), Wykonawca ustali cenę jednostkową Paliwa gazowego „C” dla takiego miesiąca w oparciu o wartość ŚrRDB z uwzględnieniem narzutu „N”.</w:t>
      </w:r>
    </w:p>
    <w:p w14:paraId="6AF61056" w14:textId="77777777" w:rsidR="00801ACD" w:rsidRPr="00246BB8" w:rsidRDefault="00801ACD" w:rsidP="00801ACD">
      <w:pPr>
        <w:pStyle w:val="Nagwek1"/>
        <w:spacing w:before="73"/>
        <w:rPr>
          <w:rFonts w:asciiTheme="majorHAnsi" w:hAnsiTheme="majorHAnsi" w:cstheme="majorHAnsi"/>
          <w:spacing w:val="-4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>2. Kryteria oceny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7CDD92FF" w14:textId="77777777" w:rsidR="00801ACD" w:rsidRPr="00246BB8" w:rsidRDefault="00801ACD" w:rsidP="00801ACD">
      <w:pPr>
        <w:pStyle w:val="Nagwek1"/>
        <w:spacing w:before="73"/>
        <w:ind w:left="56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>Wskaźniki oceny Oferty:</w:t>
      </w:r>
    </w:p>
    <w:p w14:paraId="5B5D463C" w14:textId="77777777" w:rsidR="00801ACD" w:rsidRPr="00246BB8" w:rsidRDefault="00801ACD" w:rsidP="00801ACD">
      <w:pPr>
        <w:pStyle w:val="Nagwek1"/>
        <w:spacing w:before="73"/>
        <w:ind w:left="56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>Wyznaczamy cenę paliwa gazowego zgodnie z wariantami (a) i (b) na bazie indeksów RDN i RTPG z dnia 15 marca 2023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46BB8">
        <w:rPr>
          <w:rFonts w:asciiTheme="majorHAnsi" w:hAnsiTheme="majorHAnsi" w:cstheme="majorHAnsi"/>
          <w:sz w:val="22"/>
          <w:szCs w:val="22"/>
        </w:rPr>
        <w:t xml:space="preserve">dla wolumenu </w:t>
      </w:r>
      <w:r>
        <w:rPr>
          <w:rFonts w:asciiTheme="majorHAnsi" w:hAnsiTheme="majorHAnsi" w:cstheme="majorHAnsi"/>
          <w:sz w:val="22"/>
          <w:szCs w:val="22"/>
        </w:rPr>
        <w:t xml:space="preserve"> 1 </w:t>
      </w:r>
      <w:r w:rsidRPr="00246BB8">
        <w:rPr>
          <w:rFonts w:asciiTheme="majorHAnsi" w:hAnsiTheme="majorHAnsi" w:cstheme="majorHAnsi"/>
          <w:sz w:val="22"/>
          <w:szCs w:val="22"/>
        </w:rPr>
        <w:t>MWh/m-c</w:t>
      </w:r>
    </w:p>
    <w:p w14:paraId="245C408B" w14:textId="77777777" w:rsidR="00801ACD" w:rsidRPr="00246BB8" w:rsidRDefault="00801ACD" w:rsidP="00801ACD">
      <w:pPr>
        <w:pStyle w:val="Nagwek1"/>
        <w:spacing w:before="73"/>
        <w:ind w:left="567"/>
        <w:rPr>
          <w:rFonts w:asciiTheme="majorHAnsi" w:hAnsiTheme="majorHAnsi" w:cstheme="majorHAnsi"/>
          <w:sz w:val="22"/>
          <w:szCs w:val="22"/>
        </w:rPr>
      </w:pPr>
      <w:r w:rsidRPr="00246BB8">
        <w:rPr>
          <w:rFonts w:asciiTheme="majorHAnsi" w:hAnsiTheme="majorHAnsi" w:cstheme="majorHAnsi"/>
          <w:sz w:val="22"/>
          <w:szCs w:val="22"/>
        </w:rPr>
        <w:t xml:space="preserve">Kryterium </w:t>
      </w:r>
      <w:r>
        <w:rPr>
          <w:rFonts w:asciiTheme="majorHAnsi" w:hAnsiTheme="majorHAnsi" w:cstheme="majorHAnsi"/>
          <w:sz w:val="22"/>
          <w:szCs w:val="22"/>
        </w:rPr>
        <w:t xml:space="preserve">oceny ofert – zgodnie z zapisami pkt. 17 SWZ. </w:t>
      </w:r>
    </w:p>
    <w:p w14:paraId="0224D8AF" w14:textId="77777777" w:rsidR="00801ACD" w:rsidRPr="00246BB8" w:rsidRDefault="00801ACD" w:rsidP="00801ACD">
      <w:pPr>
        <w:widowControl w:val="0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14:paraId="5A99704A" w14:textId="77777777" w:rsidR="00801ACD" w:rsidRPr="000734BB" w:rsidRDefault="00801ACD" w:rsidP="00801ACD">
      <w:pPr>
        <w:spacing w:line="276" w:lineRule="auto"/>
        <w:ind w:left="1134" w:hanging="567"/>
        <w:rPr>
          <w:rFonts w:asciiTheme="majorHAnsi" w:hAnsiTheme="majorHAnsi" w:cstheme="majorHAnsi"/>
        </w:rPr>
      </w:pPr>
    </w:p>
    <w:p w14:paraId="4B75A1FF" w14:textId="77777777" w:rsidR="00801ACD" w:rsidRDefault="00801ACD" w:rsidP="00801ACD"/>
    <w:p w14:paraId="5F39BF71" w14:textId="77777777" w:rsidR="00AD4F95" w:rsidRDefault="00AD4F95"/>
    <w:sectPr w:rsidR="00AD4F95" w:rsidSect="00696E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FA449" w14:textId="77777777" w:rsidR="0068144C" w:rsidRDefault="0068144C" w:rsidP="00816B01">
      <w:pPr>
        <w:spacing w:after="0" w:line="240" w:lineRule="auto"/>
      </w:pPr>
      <w:r>
        <w:separator/>
      </w:r>
    </w:p>
  </w:endnote>
  <w:endnote w:type="continuationSeparator" w:id="0">
    <w:p w14:paraId="5D064F1E" w14:textId="77777777" w:rsidR="0068144C" w:rsidRDefault="0068144C" w:rsidP="0081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9C8C9" w14:textId="77777777" w:rsidR="00816B01" w:rsidRDefault="00816B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14:paraId="01FABDDC" w14:textId="77777777" w:rsidR="006E3C6E" w:rsidRDefault="000A63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19F">
          <w:rPr>
            <w:noProof/>
          </w:rPr>
          <w:t>5</w:t>
        </w:r>
        <w:r>
          <w:fldChar w:fldCharType="end"/>
        </w:r>
      </w:p>
    </w:sdtContent>
  </w:sdt>
  <w:p w14:paraId="0B52596C" w14:textId="77777777" w:rsidR="006E3C6E" w:rsidRDefault="005661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F420" w14:textId="77777777" w:rsidR="00816B01" w:rsidRDefault="00816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7D034" w14:textId="77777777" w:rsidR="0068144C" w:rsidRDefault="0068144C" w:rsidP="00816B01">
      <w:pPr>
        <w:spacing w:after="0" w:line="240" w:lineRule="auto"/>
      </w:pPr>
      <w:r>
        <w:separator/>
      </w:r>
    </w:p>
  </w:footnote>
  <w:footnote w:type="continuationSeparator" w:id="0">
    <w:p w14:paraId="6CB7617B" w14:textId="77777777" w:rsidR="0068144C" w:rsidRDefault="0068144C" w:rsidP="0081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C52F9" w14:textId="77777777" w:rsidR="00816B01" w:rsidRDefault="00816B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9FAE" w14:textId="77777777" w:rsidR="006E3C6E" w:rsidRPr="00970668" w:rsidRDefault="000A63E6" w:rsidP="00B74195">
    <w:pPr>
      <w:tabs>
        <w:tab w:val="left" w:pos="3405"/>
      </w:tabs>
      <w:spacing w:after="0" w:line="276" w:lineRule="auto"/>
      <w:ind w:left="426"/>
      <w:jc w:val="right"/>
      <w:rPr>
        <w:rFonts w:asciiTheme="majorHAnsi" w:hAnsiTheme="majorHAnsi" w:cstheme="majorHAnsi"/>
        <w:bCs/>
        <w:i/>
        <w:iCs/>
        <w:sz w:val="18"/>
        <w:szCs w:val="18"/>
      </w:rPr>
    </w:pPr>
    <w:r w:rsidRPr="00970668">
      <w:rPr>
        <w:rFonts w:asciiTheme="majorHAnsi" w:hAnsiTheme="majorHAnsi" w:cstheme="majorHAnsi"/>
        <w:bCs/>
        <w:i/>
        <w:iCs/>
        <w:sz w:val="18"/>
        <w:szCs w:val="18"/>
      </w:rPr>
      <w:t>Kompleksowa dostawa gazu ziemnego do celów zasilania nowo wybudowanej Stacji Tankowania Gazu CNG Miejskiego Przedsiębiorstwa Oczyszczania Sp. z o.o. w Krakowie obejmująca sprzedaż i świadczenie usług dystrybucji</w:t>
    </w:r>
  </w:p>
  <w:p w14:paraId="49FED391" w14:textId="77777777" w:rsidR="006E3C6E" w:rsidRPr="00526FC3" w:rsidRDefault="000A63E6" w:rsidP="00B74195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5007372B" w14:textId="77777777" w:rsidR="006E3C6E" w:rsidRPr="009B44C9" w:rsidRDefault="000A63E6" w:rsidP="00B74195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B44C9">
      <w:rPr>
        <w:rFonts w:asciiTheme="majorHAnsi" w:hAnsiTheme="majorHAnsi" w:cstheme="majorHAnsi"/>
        <w:i/>
        <w:sz w:val="18"/>
        <w:szCs w:val="18"/>
      </w:rPr>
      <w:t>Nr sprawy TZ/TT/</w:t>
    </w:r>
    <w:r>
      <w:rPr>
        <w:rFonts w:asciiTheme="majorHAnsi" w:hAnsiTheme="majorHAnsi" w:cstheme="majorHAnsi"/>
        <w:i/>
        <w:sz w:val="18"/>
        <w:szCs w:val="18"/>
      </w:rPr>
      <w:t>7</w:t>
    </w:r>
    <w:r w:rsidRPr="009B44C9">
      <w:rPr>
        <w:rFonts w:asciiTheme="majorHAnsi" w:hAnsiTheme="majorHAnsi" w:cstheme="majorHAnsi"/>
        <w:i/>
        <w:sz w:val="18"/>
        <w:szCs w:val="18"/>
      </w:rPr>
      <w:t>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FECA0" w14:textId="37E93FCF" w:rsidR="00C540B1" w:rsidRPr="00970668" w:rsidRDefault="000A63E6" w:rsidP="00C540B1">
    <w:pPr>
      <w:tabs>
        <w:tab w:val="left" w:pos="3405"/>
      </w:tabs>
      <w:spacing w:after="0" w:line="276" w:lineRule="auto"/>
      <w:ind w:left="426"/>
      <w:jc w:val="right"/>
      <w:rPr>
        <w:rFonts w:asciiTheme="majorHAnsi" w:hAnsiTheme="majorHAnsi" w:cstheme="majorHAnsi"/>
        <w:bCs/>
        <w:i/>
        <w:iCs/>
        <w:sz w:val="18"/>
        <w:szCs w:val="18"/>
      </w:rPr>
    </w:pPr>
    <w:r w:rsidRPr="00970668">
      <w:rPr>
        <w:rFonts w:asciiTheme="majorHAnsi" w:hAnsiTheme="majorHAnsi" w:cstheme="majorHAnsi"/>
        <w:bCs/>
        <w:i/>
        <w:iCs/>
        <w:sz w:val="18"/>
        <w:szCs w:val="18"/>
      </w:rPr>
      <w:t xml:space="preserve">Kompleksowa dostawa gazu ziemnego </w:t>
    </w:r>
    <w:r w:rsidR="00816B01">
      <w:rPr>
        <w:rFonts w:asciiTheme="majorHAnsi" w:hAnsiTheme="majorHAnsi" w:cstheme="majorHAnsi"/>
        <w:bCs/>
        <w:i/>
        <w:iCs/>
        <w:sz w:val="18"/>
        <w:szCs w:val="18"/>
      </w:rPr>
      <w:t xml:space="preserve">E </w:t>
    </w:r>
    <w:r w:rsidRPr="00970668">
      <w:rPr>
        <w:rFonts w:asciiTheme="majorHAnsi" w:hAnsiTheme="majorHAnsi" w:cstheme="majorHAnsi"/>
        <w:bCs/>
        <w:i/>
        <w:iCs/>
        <w:sz w:val="18"/>
        <w:szCs w:val="18"/>
      </w:rPr>
      <w:t>do celów zasilania nowo wybudowanej Stacji Tankowania Gazu CNG Miejskiego Przedsiębiorstwa Oczyszczania Sp. z o.o. w Krakowie obejmująca sprzedaż i świadczenie usług dystrybucji</w:t>
    </w:r>
  </w:p>
  <w:p w14:paraId="1935AB8A" w14:textId="77777777" w:rsidR="00C540B1" w:rsidRPr="00526FC3" w:rsidRDefault="000A63E6" w:rsidP="00C540B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3B0298D0" w14:textId="77777777" w:rsidR="00C540B1" w:rsidRPr="009B44C9" w:rsidRDefault="000A63E6" w:rsidP="00C540B1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B44C9">
      <w:rPr>
        <w:rFonts w:asciiTheme="majorHAnsi" w:hAnsiTheme="majorHAnsi" w:cstheme="majorHAnsi"/>
        <w:i/>
        <w:sz w:val="18"/>
        <w:szCs w:val="18"/>
      </w:rPr>
      <w:t>Nr sprawy TZ/TT/</w:t>
    </w:r>
    <w:r>
      <w:rPr>
        <w:rFonts w:asciiTheme="majorHAnsi" w:hAnsiTheme="majorHAnsi" w:cstheme="majorHAnsi"/>
        <w:i/>
        <w:sz w:val="18"/>
        <w:szCs w:val="18"/>
      </w:rPr>
      <w:t>7</w:t>
    </w:r>
    <w:r w:rsidRPr="009B44C9">
      <w:rPr>
        <w:rFonts w:asciiTheme="majorHAnsi" w:hAnsiTheme="majorHAnsi" w:cstheme="majorHAnsi"/>
        <w:i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3C9F"/>
    <w:multiLevelType w:val="hybridMultilevel"/>
    <w:tmpl w:val="A4D62760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248703B8"/>
    <w:multiLevelType w:val="hybridMultilevel"/>
    <w:tmpl w:val="E69A5430"/>
    <w:lvl w:ilvl="0" w:tplc="E9AAD8DA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0F8A"/>
    <w:multiLevelType w:val="hybridMultilevel"/>
    <w:tmpl w:val="8E76BB06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3892035D"/>
    <w:multiLevelType w:val="hybridMultilevel"/>
    <w:tmpl w:val="41E0A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CCC7E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45AAC"/>
    <w:multiLevelType w:val="hybridMultilevel"/>
    <w:tmpl w:val="9B881C06"/>
    <w:lvl w:ilvl="0" w:tplc="AA02A4E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304C3"/>
    <w:multiLevelType w:val="hybridMultilevel"/>
    <w:tmpl w:val="C0D6440A"/>
    <w:lvl w:ilvl="0" w:tplc="08B6B32A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CD"/>
    <w:rsid w:val="00065292"/>
    <w:rsid w:val="000A63E6"/>
    <w:rsid w:val="000B16A9"/>
    <w:rsid w:val="00261B14"/>
    <w:rsid w:val="004525E8"/>
    <w:rsid w:val="00494337"/>
    <w:rsid w:val="0056619F"/>
    <w:rsid w:val="0068144C"/>
    <w:rsid w:val="00696EBB"/>
    <w:rsid w:val="00801ACD"/>
    <w:rsid w:val="00816B01"/>
    <w:rsid w:val="009B62FA"/>
    <w:rsid w:val="009F0171"/>
    <w:rsid w:val="00A43D30"/>
    <w:rsid w:val="00AD4F95"/>
    <w:rsid w:val="00B64017"/>
    <w:rsid w:val="00C41A23"/>
    <w:rsid w:val="00F563C7"/>
    <w:rsid w:val="00F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593A"/>
  <w15:chartTrackingRefBased/>
  <w15:docId w15:val="{1202F65D-4A38-4116-BF9F-E5B8F374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ACD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AC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ACD"/>
    <w:rPr>
      <w:rFonts w:ascii="Cambria" w:eastAsia="Times New Roman" w:hAnsi="Cambria" w:cs="Times New Roman"/>
      <w:b/>
      <w:bCs/>
      <w:kern w:val="32"/>
      <w:sz w:val="32"/>
      <w:szCs w:val="32"/>
      <w:lang w:val="x-none"/>
      <w14:ligatures w14:val="none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,lp1"/>
    <w:basedOn w:val="Normalny"/>
    <w:link w:val="AkapitzlistZnak"/>
    <w:uiPriority w:val="34"/>
    <w:qFormat/>
    <w:rsid w:val="00801ACD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80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801AC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0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ACD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801ACD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1ACD"/>
    <w:rPr>
      <w:rFonts w:ascii="Arial" w:eastAsia="Calibri" w:hAnsi="Arial" w:cs="Arial"/>
      <w:kern w:val="0"/>
      <w:sz w:val="20"/>
      <w:szCs w:val="24"/>
      <w:lang w:eastAsia="pl-PL"/>
      <w14:ligatures w14:val="none"/>
    </w:rPr>
  </w:style>
  <w:style w:type="character" w:styleId="Hipercze">
    <w:name w:val="Hyperlink"/>
    <w:rsid w:val="00801ACD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801ACD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801AC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801ACD"/>
    <w:pPr>
      <w:spacing w:after="0" w:line="240" w:lineRule="auto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B1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e.pl/gaz-ot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5E0B-26B8-4CC3-A87D-2DEEBE80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Agnieszka Starowicz</cp:lastModifiedBy>
  <cp:revision>3</cp:revision>
  <cp:lastPrinted>2023-04-20T10:46:00Z</cp:lastPrinted>
  <dcterms:created xsi:type="dcterms:W3CDTF">2023-04-20T09:37:00Z</dcterms:created>
  <dcterms:modified xsi:type="dcterms:W3CDTF">2023-04-20T10:46:00Z</dcterms:modified>
</cp:coreProperties>
</file>